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0" w:rsidRPr="00957FE9" w:rsidRDefault="007C5BA3" w:rsidP="00DB52BC">
      <w:pPr>
        <w:pStyle w:val="1"/>
        <w:spacing w:before="0" w:line="240" w:lineRule="auto"/>
        <w:jc w:val="center"/>
        <w:rPr>
          <w:rFonts w:ascii="DIN Pro Black" w:hAnsi="DIN Pro Black"/>
          <w:color w:val="002060"/>
        </w:rPr>
      </w:pPr>
      <w:bookmarkStart w:id="0" w:name="_GoBack"/>
      <w:bookmarkEnd w:id="0"/>
      <w:r>
        <w:rPr>
          <w:rFonts w:ascii="DIN Pro Black" w:hAnsi="DIN Pro Black"/>
          <w:color w:val="002060"/>
        </w:rPr>
        <w:t>Выплата заработной платы иностранному гражданину в наличной форме является незаконной валютной операцией</w:t>
      </w:r>
    </w:p>
    <w:p w:rsidR="008E4860" w:rsidRDefault="00CF543D" w:rsidP="008E4860">
      <w:pPr>
        <w:ind w:right="28"/>
        <w:rPr>
          <w:rFonts w:ascii="Tahoma" w:eastAsia="Tahoma" w:hAnsi="Tahoma" w:cs="Tahoma"/>
          <w:sz w:val="20"/>
          <w:szCs w:val="20"/>
        </w:rPr>
      </w:pPr>
      <w:r w:rsidRPr="00CF543D"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5CFDD2ED" wp14:editId="1091ACA9">
            <wp:extent cx="3015342" cy="18941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BC" w:rsidRPr="00DB52BC" w:rsidRDefault="00CF543D" w:rsidP="00020AEC">
      <w:pPr>
        <w:pStyle w:val="2"/>
        <w:spacing w:before="0" w:after="0" w:line="240" w:lineRule="auto"/>
        <w:jc w:val="center"/>
        <w:rPr>
          <w:rFonts w:ascii="DIN Pro Black" w:hAnsi="DIN Pro Black"/>
          <w:color w:val="002060"/>
          <w:sz w:val="10"/>
          <w:szCs w:val="10"/>
        </w:rPr>
      </w:pPr>
      <w:r>
        <w:rPr>
          <w:rFonts w:ascii="DIN Pro Black" w:hAnsi="DIN Pro Black"/>
          <w:color w:val="002060"/>
          <w:sz w:val="10"/>
          <w:szCs w:val="10"/>
        </w:rPr>
        <w:t xml:space="preserve"> </w:t>
      </w:r>
    </w:p>
    <w:tbl>
      <w:tblPr>
        <w:tblStyle w:val="a6"/>
        <w:tblW w:w="534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7"/>
        <w:gridCol w:w="2891"/>
      </w:tblGrid>
      <w:tr w:rsidR="00020AEC" w:rsidRPr="00957FE9" w:rsidTr="00CB5E4F"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7E7" w:rsidRDefault="00D257E7" w:rsidP="00D257E7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выдаче </w:t>
            </w:r>
            <w:r w:rsidR="007C5BA3">
              <w:rPr>
                <w:sz w:val="26"/>
                <w:szCs w:val="26"/>
              </w:rPr>
              <w:t>работодателем</w:t>
            </w:r>
            <w:r>
              <w:rPr>
                <w:sz w:val="26"/>
                <w:szCs w:val="26"/>
              </w:rPr>
              <w:t xml:space="preserve"> иностранному работнику заработной платы применению подлеж</w:t>
            </w:r>
            <w:r w:rsidR="00076247">
              <w:rPr>
                <w:sz w:val="26"/>
                <w:szCs w:val="26"/>
              </w:rPr>
              <w:t>ит</w:t>
            </w:r>
            <w:r>
              <w:rPr>
                <w:sz w:val="26"/>
                <w:szCs w:val="26"/>
              </w:rPr>
              <w:t xml:space="preserve"> специальная норма </w:t>
            </w:r>
            <w:hyperlink r:id="rId8" w:history="1">
              <w:r w:rsidRPr="00D05618">
                <w:rPr>
                  <w:rStyle w:val="ab"/>
                  <w:color w:val="auto"/>
                  <w:sz w:val="26"/>
                  <w:szCs w:val="26"/>
                </w:rPr>
                <w:t>Закона</w:t>
              </w:r>
            </w:hyperlink>
            <w:r w:rsidRPr="00D0561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№173-ФЗ от 10.12.2003 «О валютном регулировании и валютном контроле», т.е. работодатель-резидент обязан выплачивать заработную плату работнику - нерезиденту исключительно в безналичной форме - через банковские счета в уполномоченных банках.</w:t>
            </w:r>
          </w:p>
          <w:p w:rsidR="00116EC0" w:rsidRDefault="00116EC0" w:rsidP="00FB5951">
            <w:pPr>
              <w:pStyle w:val="2"/>
              <w:spacing w:before="0" w:after="0" w:line="240" w:lineRule="auto"/>
              <w:rPr>
                <w:rFonts w:ascii="DIN Pro Black" w:hAnsi="DIN Pro Black"/>
                <w:color w:val="002060"/>
                <w:sz w:val="32"/>
                <w:szCs w:val="32"/>
              </w:rPr>
            </w:pPr>
          </w:p>
          <w:p w:rsidR="00FB5951" w:rsidRDefault="00FB5951" w:rsidP="00FB5951">
            <w:pPr>
              <w:pStyle w:val="2"/>
              <w:spacing w:before="0" w:after="0" w:line="240" w:lineRule="auto"/>
              <w:rPr>
                <w:rFonts w:ascii="DIN Pro Black" w:hAnsi="DIN Pro Black"/>
                <w:color w:val="002060"/>
                <w:sz w:val="32"/>
                <w:szCs w:val="32"/>
              </w:rPr>
            </w:pPr>
            <w:r>
              <w:rPr>
                <w:rFonts w:ascii="DIN Pro Black" w:hAnsi="DIN Pro Black"/>
                <w:color w:val="002060"/>
                <w:sz w:val="32"/>
                <w:szCs w:val="32"/>
              </w:rPr>
              <w:t xml:space="preserve">Кто является работником </w:t>
            </w:r>
            <w:r w:rsidR="00116EC0">
              <w:rPr>
                <w:rFonts w:ascii="DIN Pro Black" w:hAnsi="DIN Pro Black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A72F5D">
              <w:rPr>
                <w:rFonts w:ascii="DIN Pro Black" w:hAnsi="DIN Pro Black"/>
                <w:color w:val="002060"/>
                <w:sz w:val="32"/>
                <w:szCs w:val="32"/>
              </w:rPr>
              <w:t>–</w:t>
            </w:r>
            <w:r>
              <w:rPr>
                <w:rFonts w:ascii="DIN Pro Black" w:hAnsi="DIN Pro Black"/>
                <w:color w:val="002060"/>
                <w:sz w:val="32"/>
                <w:szCs w:val="32"/>
              </w:rPr>
              <w:t>н</w:t>
            </w:r>
            <w:proofErr w:type="gramEnd"/>
            <w:r>
              <w:rPr>
                <w:rFonts w:ascii="DIN Pro Black" w:hAnsi="DIN Pro Black"/>
                <w:color w:val="002060"/>
                <w:sz w:val="32"/>
                <w:szCs w:val="32"/>
              </w:rPr>
              <w:t>ерезидентом</w:t>
            </w:r>
            <w:r w:rsidR="00A72F5D">
              <w:rPr>
                <w:rFonts w:ascii="DIN Pro Black" w:hAnsi="DIN Pro Black"/>
                <w:color w:val="002060"/>
                <w:sz w:val="32"/>
                <w:szCs w:val="32"/>
              </w:rPr>
              <w:t xml:space="preserve"> </w:t>
            </w:r>
          </w:p>
          <w:p w:rsidR="00076247" w:rsidRDefault="00A72F5D" w:rsidP="00116EC0">
            <w:pPr>
              <w:pStyle w:val="ConsPlusNormal"/>
              <w:ind w:firstLine="539"/>
              <w:jc w:val="both"/>
              <w:rPr>
                <w:sz w:val="26"/>
                <w:szCs w:val="26"/>
              </w:rPr>
            </w:pPr>
            <w:r w:rsidRPr="00A72F5D">
              <w:rPr>
                <w:sz w:val="26"/>
                <w:szCs w:val="26"/>
              </w:rPr>
              <w:t>Статьей 1 Федерального закона  №173-ФЗ от</w:t>
            </w:r>
            <w:r>
              <w:rPr>
                <w:sz w:val="26"/>
                <w:szCs w:val="26"/>
              </w:rPr>
              <w:t xml:space="preserve"> </w:t>
            </w:r>
            <w:r w:rsidRPr="00A72F5D">
              <w:rPr>
                <w:sz w:val="26"/>
                <w:szCs w:val="26"/>
              </w:rPr>
              <w:t xml:space="preserve">10.12.2003 «О валютном регулировании и валютном контроле» </w:t>
            </w:r>
            <w:r w:rsidR="00076247">
              <w:rPr>
                <w:sz w:val="26"/>
                <w:szCs w:val="26"/>
              </w:rPr>
              <w:t>даны</w:t>
            </w:r>
            <w:r w:rsidRPr="00A72F5D">
              <w:rPr>
                <w:sz w:val="26"/>
                <w:szCs w:val="26"/>
              </w:rPr>
              <w:t xml:space="preserve"> основные понятия резидентов и </w:t>
            </w:r>
            <w:r w:rsidRPr="00A72F5D">
              <w:rPr>
                <w:sz w:val="26"/>
                <w:szCs w:val="26"/>
              </w:rPr>
              <w:lastRenderedPageBreak/>
              <w:t xml:space="preserve">нерезидентов. </w:t>
            </w:r>
          </w:p>
          <w:p w:rsidR="00076247" w:rsidRDefault="00076247" w:rsidP="00116EC0">
            <w:pPr>
              <w:pStyle w:val="ConsPlusNormal"/>
              <w:ind w:firstLine="53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Резидентами признаются:</w:t>
            </w:r>
          </w:p>
          <w:p w:rsidR="00076247" w:rsidRDefault="00076247" w:rsidP="00076247">
            <w:pPr>
              <w:pStyle w:val="ConsPlusNormal"/>
              <w:numPr>
                <w:ilvl w:val="0"/>
                <w:numId w:val="10"/>
              </w:numPr>
              <w:tabs>
                <w:tab w:val="left" w:pos="893"/>
              </w:tabs>
              <w:ind w:left="42" w:firstLine="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юридические лица, созданные в соответствии с законодательством Российской Федерации;</w:t>
            </w:r>
          </w:p>
          <w:p w:rsidR="006568BD" w:rsidRDefault="00076247" w:rsidP="00076247">
            <w:pPr>
              <w:pStyle w:val="ConsPlusNormal"/>
              <w:numPr>
                <w:ilvl w:val="0"/>
                <w:numId w:val="10"/>
              </w:numPr>
              <w:tabs>
                <w:tab w:val="left" w:pos="893"/>
              </w:tabs>
              <w:ind w:left="42" w:firstLine="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физические лица, являющиеся гражданами Российской Федерации;</w:t>
            </w:r>
          </w:p>
          <w:p w:rsidR="00076247" w:rsidRDefault="00076247" w:rsidP="00076247">
            <w:pPr>
              <w:pStyle w:val="ConsPlusNormal"/>
              <w:numPr>
                <w:ilvl w:val="0"/>
                <w:numId w:val="10"/>
              </w:numPr>
              <w:tabs>
                <w:tab w:val="left" w:pos="893"/>
              </w:tabs>
              <w:ind w:left="42" w:firstLine="56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="006568BD">
              <w:rPr>
                <w:snapToGrid w:val="0"/>
                <w:sz w:val="28"/>
                <w:szCs w:val="28"/>
              </w:rPr>
              <w:t xml:space="preserve">физические лица иностранные граждане и лица без гражданства, </w:t>
            </w:r>
            <w:r>
              <w:rPr>
                <w:snapToGrid w:val="0"/>
                <w:sz w:val="28"/>
                <w:szCs w:val="28"/>
              </w:rPr>
              <w:t>постоянно проживающие в Российской Федерации на основании вида на жительство, предусмотренного законодательством Российской Федерации</w:t>
            </w:r>
            <w:r w:rsidR="006568BD">
              <w:rPr>
                <w:snapToGrid w:val="0"/>
                <w:sz w:val="28"/>
                <w:szCs w:val="28"/>
              </w:rPr>
              <w:t>.</w:t>
            </w:r>
          </w:p>
          <w:p w:rsidR="00116EC0" w:rsidRDefault="00F23503" w:rsidP="00116EC0">
            <w:pPr>
              <w:pStyle w:val="ConsPlusNormal"/>
              <w:ind w:firstLine="539"/>
              <w:jc w:val="both"/>
              <w:rPr>
                <w:sz w:val="26"/>
                <w:szCs w:val="26"/>
              </w:rPr>
            </w:pPr>
            <w:r>
              <w:rPr>
                <w:snapToGrid w:val="0"/>
                <w:sz w:val="28"/>
                <w:szCs w:val="28"/>
              </w:rPr>
              <w:t>Физическими лицами - н</w:t>
            </w:r>
            <w:r w:rsidR="00076247">
              <w:rPr>
                <w:snapToGrid w:val="0"/>
                <w:sz w:val="28"/>
                <w:szCs w:val="28"/>
              </w:rPr>
              <w:t>ерезидентами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076247">
              <w:rPr>
                <w:snapToGrid w:val="0"/>
                <w:sz w:val="28"/>
                <w:szCs w:val="28"/>
              </w:rPr>
              <w:t xml:space="preserve"> признаются  не являющиеся резидентами </w:t>
            </w:r>
            <w:r w:rsidR="00076247">
              <w:rPr>
                <w:sz w:val="26"/>
                <w:szCs w:val="26"/>
              </w:rPr>
              <w:t xml:space="preserve"> </w:t>
            </w:r>
            <w:r w:rsidR="00116EC0">
              <w:rPr>
                <w:sz w:val="26"/>
                <w:szCs w:val="26"/>
              </w:rPr>
              <w:t xml:space="preserve"> в соответствии с подпунктами "а" и "б" пункта 6 части 1 статьи</w:t>
            </w:r>
            <w:r>
              <w:rPr>
                <w:sz w:val="26"/>
                <w:szCs w:val="26"/>
              </w:rPr>
              <w:t xml:space="preserve"> 1</w:t>
            </w:r>
            <w:r w:rsidRPr="00A72F5D">
              <w:rPr>
                <w:sz w:val="26"/>
                <w:szCs w:val="26"/>
              </w:rPr>
              <w:t xml:space="preserve"> Федерального закона  №173-ФЗ</w:t>
            </w:r>
            <w:r w:rsidR="00116EC0">
              <w:rPr>
                <w:sz w:val="26"/>
                <w:szCs w:val="26"/>
              </w:rPr>
              <w:t>.</w:t>
            </w:r>
          </w:p>
          <w:p w:rsidR="00116EC0" w:rsidRDefault="006568BD" w:rsidP="00AC04D3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Соответственно, и</w:t>
            </w:r>
            <w:r w:rsidR="00116EC0">
              <w:rPr>
                <w:rFonts w:ascii="Times New Roman" w:hAnsi="Times New Roman" w:cs="Times New Roman"/>
                <w:sz w:val="26"/>
                <w:szCs w:val="26"/>
              </w:rPr>
              <w:t>ностранными гражданами - нерезидентами  являются физические лица, не являющиеся гражданами Российской Федерации; и не имеющие  вида на жительство в Российской Федерации.</w:t>
            </w:r>
          </w:p>
          <w:p w:rsidR="006568BD" w:rsidRDefault="006568BD" w:rsidP="00AC04D3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EC0" w:rsidRPr="00116EC0" w:rsidRDefault="00116EC0" w:rsidP="00116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EC0">
              <w:rPr>
                <w:rFonts w:ascii="DIN Pro Black" w:hAnsi="DIN Pro Black"/>
                <w:b/>
                <w:color w:val="002060"/>
                <w:sz w:val="32"/>
                <w:szCs w:val="32"/>
              </w:rPr>
              <w:t>Кто может получать заработную плату в наличной форме</w:t>
            </w:r>
          </w:p>
          <w:p w:rsidR="00116EC0" w:rsidRPr="00116EC0" w:rsidRDefault="00116EC0" w:rsidP="00116EC0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751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EC0">
              <w:rPr>
                <w:rFonts w:ascii="Times New Roman" w:hAnsi="Times New Roman" w:cs="Times New Roman"/>
                <w:sz w:val="26"/>
                <w:szCs w:val="26"/>
              </w:rPr>
              <w:t>Граждане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6EC0" w:rsidRPr="00116EC0" w:rsidRDefault="00116EC0" w:rsidP="00116EC0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42" w:firstLine="426"/>
              <w:jc w:val="both"/>
              <w:rPr>
                <w:rFonts w:ascii="Times New Roman" w:hAnsi="Times New Roman" w:cs="Times New Roman"/>
              </w:rPr>
            </w:pPr>
            <w:r w:rsidRPr="00116EC0">
              <w:rPr>
                <w:rFonts w:ascii="Times New Roman" w:hAnsi="Times New Roman" w:cs="Times New Roman"/>
                <w:sz w:val="26"/>
                <w:szCs w:val="26"/>
              </w:rPr>
              <w:t>Иностранные граждане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16EC0">
              <w:rPr>
                <w:rFonts w:ascii="Times New Roman" w:hAnsi="Times New Roman" w:cs="Times New Roman"/>
                <w:sz w:val="26"/>
                <w:szCs w:val="26"/>
              </w:rPr>
              <w:t xml:space="preserve"> оформившие гражданство Российской Федерации; </w:t>
            </w:r>
          </w:p>
          <w:p w:rsidR="00116EC0" w:rsidRPr="00116EC0" w:rsidRDefault="00116EC0" w:rsidP="00116EC0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42" w:firstLine="426"/>
              <w:jc w:val="both"/>
              <w:rPr>
                <w:rFonts w:ascii="Times New Roman" w:hAnsi="Times New Roman" w:cs="Times New Roman"/>
              </w:rPr>
            </w:pPr>
            <w:r w:rsidRPr="00116EC0">
              <w:rPr>
                <w:rFonts w:ascii="Times New Roman" w:hAnsi="Times New Roman" w:cs="Times New Roman"/>
                <w:sz w:val="26"/>
                <w:szCs w:val="26"/>
              </w:rPr>
              <w:t>Иностранные граждане</w:t>
            </w:r>
            <w:r w:rsidR="008C76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16EC0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проживающие в Российской Федерации на основании вида на жительство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16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5951" w:rsidRDefault="00F23503" w:rsidP="00D257E7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F675B5">
              <w:rPr>
                <w:rFonts w:ascii="DIN Pro Bold" w:eastAsia="Tahoma" w:hAnsi="DIN Pro Bold" w:cs="Tahom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77275" wp14:editId="690EBFC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60325</wp:posOffset>
                      </wp:positionV>
                      <wp:extent cx="3232785" cy="1175385"/>
                      <wp:effectExtent l="0" t="0" r="5715" b="571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785" cy="1175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39" w:rsidRDefault="006F3739" w:rsidP="008A2579">
                                  <w:pPr>
                                    <w:pStyle w:val="2"/>
                                    <w:spacing w:before="0" w:after="0" w:line="240" w:lineRule="auto"/>
                                    <w:jc w:val="center"/>
                                    <w:rPr>
                                      <w:rFonts w:ascii="DIN Pro Black" w:hAnsi="DIN Pro Black"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DIN Pro Black" w:hAnsi="DIN Pro Black"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Административная </w:t>
                                  </w:r>
                                  <w:r w:rsidR="00D257E7">
                                    <w:rPr>
                                      <w:rFonts w:ascii="DIN Pro Black" w:hAnsi="DIN Pro Black"/>
                                      <w:color w:val="002060"/>
                                      <w:sz w:val="32"/>
                                      <w:szCs w:val="3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DIN Pro Black" w:hAnsi="DIN Pro Black"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тветственность </w:t>
                                  </w:r>
                                </w:p>
                                <w:p w:rsidR="006F3739" w:rsidRPr="00732B9A" w:rsidRDefault="006F3739" w:rsidP="006F3739">
                                  <w:pPr>
                                    <w:spacing w:after="0" w:line="240" w:lineRule="auto"/>
                                    <w:ind w:right="28"/>
                                    <w:jc w:val="both"/>
                                    <w:rPr>
                                      <w:rFonts w:ascii="DIN Pro Bold" w:eastAsia="Tahoma" w:hAnsi="DIN Pro Bold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32B9A">
                                    <w:rPr>
                                      <w:rFonts w:ascii="DIN Pro Black" w:hAnsi="DIN Pro Black"/>
                                      <w:color w:val="002060"/>
                                      <w:sz w:val="24"/>
                                      <w:szCs w:val="24"/>
                                    </w:rPr>
                                    <w:t>За совершение незаконных валютных операций</w:t>
                                  </w:r>
                                  <w:r w:rsidRPr="00732B9A">
                                    <w:rPr>
                                      <w:rFonts w:ascii="DIN Pro Black" w:eastAsia="Tahoma" w:hAnsi="DIN Pro Black" w:cs="Tahom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2B9A" w:rsidRPr="00732B9A">
                                    <w:rPr>
                                      <w:rFonts w:ascii="DIN Pro Black" w:eastAsia="Tahoma" w:hAnsi="DIN Pro Black" w:cs="Tahom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частью 1 статьи 15.25 КоАП РФ </w:t>
                                  </w:r>
                                  <w:r w:rsidRPr="00732B9A">
                                    <w:rPr>
                                      <w:rFonts w:ascii="DIN Pro Black" w:eastAsia="Tahoma" w:hAnsi="DIN Pro Black" w:cs="Tahom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предусмотрена </w:t>
                                  </w:r>
                                  <w:r w:rsidR="006D28F1" w:rsidRPr="00732B9A">
                                    <w:rPr>
                                      <w:rFonts w:ascii="DIN Pro Black" w:eastAsia="Tahoma" w:hAnsi="DIN Pro Black" w:cs="Tahom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ответственность </w:t>
                                  </w:r>
                                </w:p>
                                <w:p w:rsidR="008A2579" w:rsidRPr="006F3739" w:rsidRDefault="008A2579" w:rsidP="006F3739">
                                  <w:pPr>
                                    <w:pStyle w:val="2"/>
                                    <w:spacing w:before="0" w:after="0" w:line="240" w:lineRule="auto"/>
                                    <w:jc w:val="both"/>
                                    <w:rPr>
                                      <w:rFonts w:ascii="DIN Pro Black" w:hAnsi="DIN Pro Black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2579" w:rsidRPr="008A2579" w:rsidRDefault="008A2579" w:rsidP="008A2579">
                                  <w:pPr>
                                    <w:spacing w:after="0" w:line="240" w:lineRule="auto"/>
                                    <w:ind w:right="28"/>
                                    <w:jc w:val="both"/>
                                    <w:rPr>
                                      <w:rFonts w:ascii="DIN Pro Black" w:eastAsia="Tahoma" w:hAnsi="DIN Pro Black" w:cs="Tahoma"/>
                                      <w:b/>
                                      <w:color w:val="00206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57E7" w:rsidRDefault="00D257E7" w:rsidP="00D257E7">
                                  <w:pPr>
                                    <w:spacing w:after="0" w:line="240" w:lineRule="auto"/>
                                    <w:ind w:right="28"/>
                                    <w:jc w:val="both"/>
                                    <w:rPr>
                                      <w:rFonts w:ascii="DIN Pro Bold" w:eastAsia="Tahoma" w:hAnsi="DIN Pro Bold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57E7" w:rsidRDefault="00D257E7" w:rsidP="00D257E7">
                                  <w:pPr>
                                    <w:spacing w:after="0" w:line="240" w:lineRule="auto"/>
                                    <w:ind w:right="28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9pt;margin-top:4.75pt;width:254.5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" stroked="f">
                      <v:textbox>
                        <w:txbxContent>
                          <w:p w:rsidR="006F3739" w:rsidRDefault="006F3739" w:rsidP="008A2579">
                            <w:pPr>
                              <w:pStyle w:val="2"/>
                              <w:spacing w:before="0" w:after="0" w:line="240" w:lineRule="auto"/>
                              <w:jc w:val="center"/>
                              <w:rPr>
                                <w:rFonts w:ascii="DIN Pro Black" w:hAnsi="DIN Pro Black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Pro Black" w:hAnsi="DIN Pro Black"/>
                                <w:color w:val="002060"/>
                                <w:sz w:val="32"/>
                                <w:szCs w:val="32"/>
                              </w:rPr>
                              <w:t xml:space="preserve">Административная </w:t>
                            </w:r>
                            <w:r w:rsidR="00D257E7">
                              <w:rPr>
                                <w:rFonts w:ascii="DIN Pro Black" w:hAnsi="DIN Pro Black"/>
                                <w:color w:val="002060"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rFonts w:ascii="DIN Pro Black" w:hAnsi="DIN Pro Black"/>
                                <w:color w:val="002060"/>
                                <w:sz w:val="32"/>
                                <w:szCs w:val="32"/>
                              </w:rPr>
                              <w:t xml:space="preserve">тветственность </w:t>
                            </w:r>
                          </w:p>
                          <w:p w:rsidR="006F3739" w:rsidRPr="00732B9A" w:rsidRDefault="006F3739" w:rsidP="006F3739">
                            <w:pPr>
                              <w:spacing w:after="0" w:line="240" w:lineRule="auto"/>
                              <w:ind w:right="28"/>
                              <w:jc w:val="both"/>
                              <w:rPr>
                                <w:rFonts w:ascii="DIN Pro Bold" w:eastAsia="Tahoma" w:hAnsi="DIN Pro 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32B9A">
                              <w:rPr>
                                <w:rFonts w:ascii="DIN Pro Black" w:hAnsi="DIN Pro Black"/>
                                <w:color w:val="002060"/>
                                <w:sz w:val="24"/>
                                <w:szCs w:val="24"/>
                              </w:rPr>
                              <w:t>За совершение незаконных валютных операций</w:t>
                            </w:r>
                            <w:r w:rsidRPr="00732B9A">
                              <w:rPr>
                                <w:rFonts w:ascii="DIN Pro Black" w:eastAsia="Tahoma" w:hAnsi="DIN Pro Black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B9A" w:rsidRPr="00732B9A">
                              <w:rPr>
                                <w:rFonts w:ascii="DIN Pro Black" w:eastAsia="Tahoma" w:hAnsi="DIN Pro Black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частью 1 статьи 15.25 КоАП РФ </w:t>
                            </w:r>
                            <w:r w:rsidRPr="00732B9A">
                              <w:rPr>
                                <w:rFonts w:ascii="DIN Pro Black" w:eastAsia="Tahoma" w:hAnsi="DIN Pro Black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предусмотрена </w:t>
                            </w:r>
                            <w:r w:rsidR="006D28F1" w:rsidRPr="00732B9A">
                              <w:rPr>
                                <w:rFonts w:ascii="DIN Pro Black" w:eastAsia="Tahoma" w:hAnsi="DIN Pro Black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ответственность </w:t>
                            </w:r>
                          </w:p>
                          <w:p w:rsidR="008A2579" w:rsidRPr="006F3739" w:rsidRDefault="008A2579" w:rsidP="006F3739">
                            <w:pPr>
                              <w:pStyle w:val="2"/>
                              <w:spacing w:before="0" w:after="0" w:line="240" w:lineRule="auto"/>
                              <w:jc w:val="both"/>
                              <w:rPr>
                                <w:rFonts w:ascii="DIN Pro Black" w:hAnsi="DIN Pro Black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8A2579" w:rsidRPr="008A2579" w:rsidRDefault="008A2579" w:rsidP="008A2579">
                            <w:pPr>
                              <w:spacing w:after="0" w:line="240" w:lineRule="auto"/>
                              <w:ind w:right="28"/>
                              <w:jc w:val="both"/>
                              <w:rPr>
                                <w:rFonts w:ascii="DIN Pro Black" w:eastAsia="Tahoma" w:hAnsi="DIN Pro Black" w:cs="Tahoma"/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:rsidR="00D257E7" w:rsidRDefault="00D257E7" w:rsidP="00D257E7">
                            <w:pPr>
                              <w:spacing w:after="0" w:line="240" w:lineRule="auto"/>
                              <w:ind w:right="28"/>
                              <w:jc w:val="both"/>
                              <w:rPr>
                                <w:rFonts w:ascii="DIN Pro Bold" w:eastAsia="Tahoma" w:hAnsi="DIN Pro Bold" w:cs="Tahoma"/>
                                <w:sz w:val="18"/>
                                <w:szCs w:val="18"/>
                              </w:rPr>
                            </w:pPr>
                          </w:p>
                          <w:p w:rsidR="00D257E7" w:rsidRDefault="00D257E7" w:rsidP="00D257E7">
                            <w:pPr>
                              <w:spacing w:after="0" w:line="240" w:lineRule="auto"/>
                              <w:ind w:right="28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0AEC" w:rsidRPr="00020AEC" w:rsidRDefault="00020AEC" w:rsidP="00020AEC">
            <w:pPr>
              <w:widowControl w:val="0"/>
              <w:spacing w:after="0" w:line="240" w:lineRule="auto"/>
              <w:ind w:right="-242"/>
              <w:jc w:val="both"/>
              <w:rPr>
                <w:rFonts w:ascii="DIN Pro Bold" w:eastAsia="Tahoma" w:hAnsi="DIN Pro Bold" w:cs="Tahoma"/>
                <w:b/>
                <w:sz w:val="20"/>
                <w:szCs w:val="20"/>
              </w:rPr>
            </w:pPr>
          </w:p>
        </w:tc>
      </w:tr>
      <w:tr w:rsidR="00020AEC" w:rsidRPr="00957FE9" w:rsidTr="00CB5E4F">
        <w:trPr>
          <w:trHeight w:val="19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EC" w:rsidRPr="00020AEC" w:rsidRDefault="00D257E7" w:rsidP="00020AEC">
            <w:pPr>
              <w:widowControl w:val="0"/>
              <w:spacing w:after="0" w:line="240" w:lineRule="auto"/>
              <w:ind w:right="-242"/>
              <w:rPr>
                <w:rFonts w:ascii="DIN Pro Bold" w:eastAsia="Tahoma" w:hAnsi="DIN Pro Bold" w:cs="Tahoma"/>
                <w:sz w:val="18"/>
                <w:szCs w:val="18"/>
              </w:rPr>
            </w:pPr>
            <w:r>
              <w:rPr>
                <w:rFonts w:ascii="DIN Pro Bold" w:eastAsia="Tahoma" w:hAnsi="DIN Pro Bold" w:cs="Tahoma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4C2" w:rsidRPr="00C04A97" w:rsidRDefault="00020AEC" w:rsidP="00D257E7">
            <w:pPr>
              <w:widowControl w:val="0"/>
              <w:spacing w:after="0" w:line="240" w:lineRule="auto"/>
              <w:ind w:left="325" w:firstLine="325"/>
              <w:rPr>
                <w:rFonts w:ascii="DIN Pro Bold" w:eastAsia="Tahoma" w:hAnsi="DIN Pro Bold" w:cs="Tahoma"/>
                <w:sz w:val="18"/>
                <w:szCs w:val="18"/>
              </w:rPr>
            </w:pPr>
            <w:r w:rsidRPr="00020AEC">
              <w:rPr>
                <w:rFonts w:ascii="DIN Pro Bold" w:eastAsia="Tahoma" w:hAnsi="DIN Pro Bold" w:cs="Tahoma"/>
                <w:sz w:val="18"/>
                <w:szCs w:val="18"/>
              </w:rPr>
              <w:br/>
            </w:r>
            <w:r w:rsidR="00D257E7">
              <w:rPr>
                <w:rFonts w:ascii="DIN Pro Bold" w:eastAsia="Tahoma" w:hAnsi="DIN Pro Bold" w:cs="Tahoma"/>
                <w:sz w:val="18"/>
                <w:szCs w:val="18"/>
              </w:rPr>
              <w:t xml:space="preserve"> </w:t>
            </w:r>
          </w:p>
          <w:p w:rsidR="00020AEC" w:rsidRPr="00020AEC" w:rsidRDefault="00D257E7" w:rsidP="00660BD7">
            <w:pPr>
              <w:widowControl w:val="0"/>
              <w:spacing w:after="0" w:line="240" w:lineRule="auto"/>
              <w:ind w:left="325"/>
              <w:rPr>
                <w:rFonts w:ascii="DIN Pro Bold" w:eastAsia="Tahoma" w:hAnsi="DIN Pro Bold" w:cs="Tahoma"/>
                <w:b/>
                <w:sz w:val="18"/>
                <w:szCs w:val="18"/>
              </w:rPr>
            </w:pPr>
            <w:r>
              <w:rPr>
                <w:rFonts w:ascii="DIN Pro Bold" w:eastAsia="Tahoma" w:hAnsi="DIN Pro Bold" w:cs="Tahoma"/>
                <w:sz w:val="18"/>
                <w:szCs w:val="18"/>
              </w:rPr>
              <w:t xml:space="preserve"> </w:t>
            </w:r>
          </w:p>
        </w:tc>
      </w:tr>
    </w:tbl>
    <w:p w:rsidR="00660BD7" w:rsidRDefault="00660BD7" w:rsidP="007C5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daudhvsuuvou" w:colFirst="0" w:colLast="0"/>
      <w:bookmarkEnd w:id="1"/>
    </w:p>
    <w:p w:rsidR="00CB5E4F" w:rsidRDefault="00D257E7" w:rsidP="007C5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8BD" w:rsidRDefault="00116EC0" w:rsidP="00116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A3">
        <w:rPr>
          <w:rFonts w:ascii="Times New Roman" w:hAnsi="Times New Roman" w:cs="Times New Roman"/>
          <w:sz w:val="26"/>
          <w:szCs w:val="26"/>
        </w:rPr>
        <w:t>в виде наложения административного штрафа</w:t>
      </w:r>
      <w:r w:rsidR="006568BD">
        <w:rPr>
          <w:rFonts w:ascii="Times New Roman" w:hAnsi="Times New Roman" w:cs="Times New Roman"/>
          <w:sz w:val="26"/>
          <w:szCs w:val="26"/>
        </w:rPr>
        <w:t>:</w:t>
      </w:r>
    </w:p>
    <w:p w:rsidR="006568BD" w:rsidRDefault="00116EC0" w:rsidP="006568BD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11"/>
        <w:jc w:val="both"/>
        <w:rPr>
          <w:rFonts w:ascii="Times New Roman" w:hAnsi="Times New Roman" w:cs="Times New Roman"/>
          <w:sz w:val="26"/>
          <w:szCs w:val="26"/>
        </w:rPr>
      </w:pPr>
      <w:r w:rsidRPr="006568BD">
        <w:rPr>
          <w:rFonts w:ascii="Times New Roman" w:hAnsi="Times New Roman" w:cs="Times New Roman"/>
          <w:sz w:val="26"/>
          <w:szCs w:val="26"/>
        </w:rPr>
        <w:t xml:space="preserve">на граждан, лиц, осуществляющих предпринимательскую деятельность без образования юридического лица, и юридических лиц в размере от трех четвертых до одного размера суммы незаконной валютной операции; </w:t>
      </w:r>
    </w:p>
    <w:p w:rsidR="00116EC0" w:rsidRPr="006568BD" w:rsidRDefault="00116EC0" w:rsidP="006568BD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11"/>
        <w:jc w:val="both"/>
        <w:rPr>
          <w:rFonts w:ascii="Times New Roman" w:hAnsi="Times New Roman" w:cs="Times New Roman"/>
          <w:sz w:val="26"/>
          <w:szCs w:val="26"/>
        </w:rPr>
      </w:pPr>
      <w:r w:rsidRPr="006568BD">
        <w:rPr>
          <w:rFonts w:ascii="Times New Roman" w:hAnsi="Times New Roman" w:cs="Times New Roman"/>
          <w:sz w:val="26"/>
          <w:szCs w:val="26"/>
        </w:rPr>
        <w:t>на должностных лиц - от двадцати тысяч до тридцати тысяч рублей.</w:t>
      </w:r>
    </w:p>
    <w:p w:rsidR="00732B9A" w:rsidRDefault="00732B9A" w:rsidP="00116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B9A" w:rsidRDefault="00732B9A" w:rsidP="0073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BA3">
        <w:rPr>
          <w:noProof/>
        </w:rPr>
        <w:drawing>
          <wp:inline distT="0" distB="0" distL="0" distR="0" wp14:anchorId="141DED1B" wp14:editId="5B1DF25C">
            <wp:extent cx="2841171" cy="26934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6173" cy="270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B9A" w:rsidSect="007C5BA3">
      <w:pgSz w:w="16839" w:h="11907" w:orient="landscape" w:code="9"/>
      <w:pgMar w:top="567" w:right="567" w:bottom="567" w:left="567" w:header="709" w:footer="709" w:gutter="0"/>
      <w:pgNumType w:start="1"/>
      <w:cols w:num="3" w:space="36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03011C"/>
    <w:multiLevelType w:val="hybridMultilevel"/>
    <w:tmpl w:val="CB3658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3033B69"/>
    <w:multiLevelType w:val="hybridMultilevel"/>
    <w:tmpl w:val="D90632F2"/>
    <w:lvl w:ilvl="0" w:tplc="CDC4751A">
      <w:numFmt w:val="bullet"/>
      <w:lvlText w:val="-"/>
      <w:lvlJc w:val="left"/>
      <w:pPr>
        <w:ind w:left="720" w:hanging="360"/>
      </w:pPr>
      <w:rPr>
        <w:rFonts w:ascii="DIN Pro Bold" w:eastAsia="Tahoma" w:hAnsi="DIN Pro Bold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FC242FE"/>
    <w:multiLevelType w:val="hybridMultilevel"/>
    <w:tmpl w:val="52C0F2DC"/>
    <w:lvl w:ilvl="0" w:tplc="0419000D">
      <w:start w:val="1"/>
      <w:numFmt w:val="bullet"/>
      <w:lvlText w:val=""/>
      <w:lvlJc w:val="left"/>
      <w:pPr>
        <w:ind w:left="13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6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7C37"/>
    <w:multiLevelType w:val="hybridMultilevel"/>
    <w:tmpl w:val="348C64F2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20AEC"/>
    <w:rsid w:val="00076247"/>
    <w:rsid w:val="000D632A"/>
    <w:rsid w:val="000F21D4"/>
    <w:rsid w:val="001151E0"/>
    <w:rsid w:val="00116EC0"/>
    <w:rsid w:val="001D54C2"/>
    <w:rsid w:val="002B493D"/>
    <w:rsid w:val="00311374"/>
    <w:rsid w:val="003D0015"/>
    <w:rsid w:val="0043427B"/>
    <w:rsid w:val="0043779E"/>
    <w:rsid w:val="004663BD"/>
    <w:rsid w:val="004955A4"/>
    <w:rsid w:val="004C0C1B"/>
    <w:rsid w:val="004E16F4"/>
    <w:rsid w:val="004E754A"/>
    <w:rsid w:val="00524606"/>
    <w:rsid w:val="00646CFC"/>
    <w:rsid w:val="006568BD"/>
    <w:rsid w:val="00660BD7"/>
    <w:rsid w:val="0066756B"/>
    <w:rsid w:val="006C2014"/>
    <w:rsid w:val="006D28F1"/>
    <w:rsid w:val="006F3739"/>
    <w:rsid w:val="00732B9A"/>
    <w:rsid w:val="00784181"/>
    <w:rsid w:val="007C5BA3"/>
    <w:rsid w:val="007F4529"/>
    <w:rsid w:val="008A2579"/>
    <w:rsid w:val="008B2864"/>
    <w:rsid w:val="008C768B"/>
    <w:rsid w:val="008E4860"/>
    <w:rsid w:val="00920691"/>
    <w:rsid w:val="00957FE9"/>
    <w:rsid w:val="00990FBF"/>
    <w:rsid w:val="009E42E7"/>
    <w:rsid w:val="00A21EDF"/>
    <w:rsid w:val="00A60903"/>
    <w:rsid w:val="00A72F5D"/>
    <w:rsid w:val="00A76252"/>
    <w:rsid w:val="00AC04D3"/>
    <w:rsid w:val="00BB7D5E"/>
    <w:rsid w:val="00BD4C4C"/>
    <w:rsid w:val="00BE7CB1"/>
    <w:rsid w:val="00C04A97"/>
    <w:rsid w:val="00C72430"/>
    <w:rsid w:val="00CB5E4F"/>
    <w:rsid w:val="00CE2F9F"/>
    <w:rsid w:val="00CF543D"/>
    <w:rsid w:val="00D05618"/>
    <w:rsid w:val="00D257E7"/>
    <w:rsid w:val="00DB52BC"/>
    <w:rsid w:val="00DD1786"/>
    <w:rsid w:val="00E33A9D"/>
    <w:rsid w:val="00E600EB"/>
    <w:rsid w:val="00EE0E04"/>
    <w:rsid w:val="00F23503"/>
    <w:rsid w:val="00F41939"/>
    <w:rsid w:val="00F54ED8"/>
    <w:rsid w:val="00F675B5"/>
    <w:rsid w:val="00F979A6"/>
    <w:rsid w:val="00FB5951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AEC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57FE9"/>
    <w:pPr>
      <w:ind w:left="720"/>
      <w:contextualSpacing/>
    </w:pPr>
  </w:style>
  <w:style w:type="paragraph" w:customStyle="1" w:styleId="ConsPlusNormal">
    <w:name w:val="ConsPlusNormal"/>
    <w:rsid w:val="00D25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0"/>
    <w:uiPriority w:val="99"/>
    <w:semiHidden/>
    <w:unhideWhenUsed/>
    <w:rsid w:val="00D2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AEC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57FE9"/>
    <w:pPr>
      <w:ind w:left="720"/>
      <w:contextualSpacing/>
    </w:pPr>
  </w:style>
  <w:style w:type="paragraph" w:customStyle="1" w:styleId="ConsPlusNormal">
    <w:name w:val="ConsPlusNormal"/>
    <w:rsid w:val="00D25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0"/>
    <w:uiPriority w:val="99"/>
    <w:semiHidden/>
    <w:unhideWhenUsed/>
    <w:rsid w:val="00D2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2F84AF541AE60942FC8062A9C732FCBE51BE28BC1FB906330C20001F24A68814F647D2Z9h8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DF0-5528-4820-A1DB-9BE1D83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Чумакова Альмира Рамилевна</cp:lastModifiedBy>
  <cp:revision>2</cp:revision>
  <cp:lastPrinted>2018-03-26T15:08:00Z</cp:lastPrinted>
  <dcterms:created xsi:type="dcterms:W3CDTF">2020-04-23T06:56:00Z</dcterms:created>
  <dcterms:modified xsi:type="dcterms:W3CDTF">2020-04-23T06:56:00Z</dcterms:modified>
</cp:coreProperties>
</file>