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A0" w:rsidRDefault="00A272A0" w:rsidP="00A272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ПАМЯТКА</w:t>
      </w:r>
    </w:p>
    <w:tbl>
      <w:tblPr>
        <w:tblW w:w="978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A272A0" w:rsidTr="00474094">
        <w:trPr>
          <w:trHeight w:val="570"/>
        </w:trPr>
        <w:tc>
          <w:tcPr>
            <w:tcW w:w="9780" w:type="dxa"/>
          </w:tcPr>
          <w:p w:rsidR="00A272A0" w:rsidRDefault="00A272A0" w:rsidP="00474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9A1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Имущественные налоговые вычеты (с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</w:t>
            </w:r>
            <w:r w:rsidRPr="006A29A1">
              <w:rPr>
                <w:rFonts w:ascii="Times New Roman" w:hAnsi="Times New Roman" w:cs="Times New Roman"/>
                <w:b/>
                <w:sz w:val="28"/>
                <w:szCs w:val="28"/>
              </w:rPr>
              <w:t>220 НК РФ).</w:t>
            </w:r>
          </w:p>
          <w:p w:rsidR="00A272A0" w:rsidRPr="006A29A1" w:rsidRDefault="00A272A0" w:rsidP="004740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2A0" w:rsidRPr="006A29A1" w:rsidRDefault="00A272A0" w:rsidP="0047409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</w:pPr>
            <w:r w:rsidRPr="006A29A1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Получение имущественного налогового вычета при осуществлении расходов на приобретение (строительство) жилого дома, квартиры, комнаты или долей в них</w:t>
            </w:r>
            <w:r w:rsidR="00F60B6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, </w:t>
            </w:r>
            <w:r w:rsidR="00F60B69" w:rsidRPr="00F60B69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</w:t>
            </w:r>
            <w:r w:rsidRPr="006A29A1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:rsidR="00A272A0" w:rsidRDefault="00A272A0" w:rsidP="0047409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sz w:val="28"/>
                <w:szCs w:val="28"/>
                <w:u w:val="single"/>
              </w:rPr>
            </w:pPr>
          </w:p>
          <w:p w:rsidR="00A272A0" w:rsidRPr="00CC0415" w:rsidRDefault="007B598D" w:rsidP="004740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A272A0" w:rsidRPr="00CC0415">
              <w:rPr>
                <w:rFonts w:ascii="Times New Roman" w:hAnsi="Times New Roman" w:cs="Times New Roman"/>
                <w:sz w:val="28"/>
                <w:szCs w:val="28"/>
              </w:rPr>
              <w:t xml:space="preserve"> п.1 ст.220 Налогового кодекса Российской Федерации налогоплательщик имеет право на получение и</w:t>
            </w:r>
            <w:r w:rsidR="00FB21C3">
              <w:rPr>
                <w:rFonts w:ascii="Times New Roman" w:hAnsi="Times New Roman" w:cs="Times New Roman"/>
                <w:sz w:val="28"/>
                <w:szCs w:val="28"/>
              </w:rPr>
              <w:t>мущественных налоговых вычетов</w:t>
            </w:r>
            <w:r w:rsidR="00A272A0" w:rsidRPr="00CC04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2A0" w:rsidRPr="00CC0415" w:rsidRDefault="00A272A0" w:rsidP="003A787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firstLine="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0415">
              <w:rPr>
                <w:rFonts w:ascii="Times New Roman" w:hAnsi="Times New Roman" w:cs="Times New Roman"/>
                <w:sz w:val="28"/>
                <w:szCs w:val="28"/>
              </w:rPr>
              <w:t>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272A0" w:rsidRPr="00CC0415" w:rsidRDefault="00A272A0" w:rsidP="003A7870">
            <w:pPr>
              <w:autoSpaceDE w:val="0"/>
              <w:autoSpaceDN w:val="0"/>
              <w:adjustRightInd w:val="0"/>
              <w:spacing w:after="12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15">
              <w:rPr>
                <w:rFonts w:ascii="Times New Roman" w:hAnsi="Times New Roman" w:cs="Times New Roman"/>
                <w:sz w:val="28"/>
                <w:szCs w:val="28"/>
              </w:rPr>
              <w:t>С 2014 г. действует положение, согласно которому налогоплательщик, не использовавший при приобретении одного объекта недвижимости всю сумму выч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 xml:space="preserve">ета (в настоящее время - 2 </w:t>
            </w:r>
            <w:proofErr w:type="spell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04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C041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C0415">
              <w:rPr>
                <w:rFonts w:ascii="Times New Roman" w:hAnsi="Times New Roman" w:cs="Times New Roman"/>
                <w:sz w:val="28"/>
                <w:szCs w:val="28"/>
              </w:rPr>
              <w:t>.), вправе получить остаток в случае покупки (строительства) другого жилья. Данная норма распространяется на правоотнош</w:t>
            </w:r>
            <w:r w:rsidR="00CB4309">
              <w:rPr>
                <w:rFonts w:ascii="Times New Roman" w:hAnsi="Times New Roman" w:cs="Times New Roman"/>
                <w:sz w:val="28"/>
                <w:szCs w:val="28"/>
              </w:rPr>
              <w:t>ения, возникшие с  01.01.2014г</w:t>
            </w:r>
            <w:proofErr w:type="gramStart"/>
            <w:r w:rsidR="00CB430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272A0" w:rsidRDefault="00A272A0" w:rsidP="00CB430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415">
              <w:rPr>
                <w:rFonts w:ascii="Times New Roman" w:hAnsi="Times New Roman" w:cs="Times New Roman"/>
                <w:sz w:val="28"/>
                <w:szCs w:val="28"/>
              </w:rPr>
              <w:t xml:space="preserve">Если право на получение имущественного вычета возникло у физического лица до 01.01.2014г., то такие правоотношения регулируются </w:t>
            </w:r>
            <w:hyperlink r:id="rId6" w:history="1">
              <w:r w:rsidRPr="00CC0415">
                <w:rPr>
                  <w:rFonts w:ascii="Times New Roman" w:hAnsi="Times New Roman" w:cs="Times New Roman"/>
                  <w:sz w:val="28"/>
                  <w:szCs w:val="28"/>
                </w:rPr>
                <w:t>нормами</w:t>
              </w:r>
            </w:hyperlink>
            <w:r w:rsidRPr="00CC0415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 в редакции, действовавшей до внесения в них изменений, даже если эти отношения</w:t>
            </w:r>
            <w:r w:rsidR="00B71245">
              <w:rPr>
                <w:rFonts w:ascii="Times New Roman" w:hAnsi="Times New Roman" w:cs="Times New Roman"/>
                <w:sz w:val="28"/>
                <w:szCs w:val="28"/>
              </w:rPr>
              <w:t xml:space="preserve"> не завершены на начало 2014 года.</w:t>
            </w:r>
          </w:p>
          <w:p w:rsidR="00B71245" w:rsidRPr="00CC0415" w:rsidRDefault="00B71245" w:rsidP="00CB4309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A0" w:rsidRDefault="00A272A0" w:rsidP="00A272A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в сумме фактически произведенных налогоплательщиком расходов на погашение процентов по целевым займам (кредитам), фактически израсходованным на новое строительство либо приобретение на территории Российской Федерации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</w:t>
            </w:r>
            <w:proofErr w:type="gramEnd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или доля (доли) в них, а также на погашение процентов по кредитам, полученным от банков в целях рефинансирования (</w:t>
            </w:r>
            <w:proofErr w:type="spellStart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перекредитования</w:t>
            </w:r>
            <w:proofErr w:type="spellEnd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 xml:space="preserve">) кредитов на новое строительство либо </w:t>
            </w:r>
            <w:r w:rsidRPr="0089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на территории Российской Федерации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</w:t>
            </w:r>
            <w:proofErr w:type="gramEnd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которых расположены приобретаемые жилые дома или доля (доли) в них.</w:t>
            </w:r>
            <w:proofErr w:type="gramEnd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5FB">
              <w:rPr>
                <w:rFonts w:ascii="Times New Roman" w:hAnsi="Times New Roman" w:cs="Times New Roman"/>
                <w:sz w:val="28"/>
                <w:szCs w:val="28"/>
              </w:rPr>
              <w:t>Для данного вычета</w:t>
            </w:r>
            <w:r w:rsidRPr="0089121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ограничение по его размеру - не более 3 000 000 руб</w:t>
            </w:r>
            <w:proofErr w:type="gramStart"/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272A0" w:rsidRDefault="00A272A0" w:rsidP="00474094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94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A0" w:rsidRPr="00891215" w:rsidRDefault="00A272A0" w:rsidP="00A272A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215">
              <w:rPr>
                <w:rFonts w:ascii="Times New Roman" w:hAnsi="Times New Roman" w:cs="Times New Roman"/>
                <w:sz w:val="28"/>
                <w:szCs w:val="28"/>
              </w:rPr>
              <w:t>имущественный налоговый вычет в размере выкупной стоимости земельного участка и (или) расположенного на нем иного объекта недвижимого имущества, полученной налогоплательщиком в денежной или натуральной форме, в случае изъятия указанного имущества для государственных или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A0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left="94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A0" w:rsidRPr="00D44FE9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FE9">
              <w:rPr>
                <w:rFonts w:ascii="Times New Roman" w:hAnsi="Times New Roman" w:cs="Times New Roman"/>
                <w:i/>
                <w:sz w:val="28"/>
                <w:szCs w:val="28"/>
              </w:rPr>
              <w:t>В фактические расходы на новое строительство либо приобретение на территории Российской Федерации жилого дома или доли (долей) в нем могут включаться следующие расходы: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проектной и сметной документации;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строительных и отделочных материалов;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жилого дома или доли (долей) в нем, в том числе не оконченного строительством;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работами или услугами по строительству (достройке жилого дома или доли (долей) в нем, не оконченного строительством) и отделке;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подключение к сетям электр</w:t>
            </w:r>
            <w:proofErr w:type="gramStart"/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, водо- и газоснабжения и канализации или создание автономных источников электро-, водо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 газоснабжения и канализации.</w:t>
            </w:r>
          </w:p>
          <w:p w:rsidR="00A272A0" w:rsidRPr="00D44FE9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FE9">
              <w:rPr>
                <w:rFonts w:ascii="Times New Roman" w:hAnsi="Times New Roman" w:cs="Times New Roman"/>
                <w:i/>
                <w:sz w:val="28"/>
                <w:szCs w:val="28"/>
              </w:rPr>
              <w:t>В фактические расходы на приобретение квартиры, комнаты или доли (долей) в них могут включаться следующие расходы: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квартиры, комнаты или доли (долей) в них либо прав на квартиру, комнату или доли (долей) в них в строящемся доме;</w:t>
            </w:r>
          </w:p>
          <w:p w:rsidR="00A272A0" w:rsidRPr="001459F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отделочных материалов;</w:t>
            </w:r>
          </w:p>
          <w:p w:rsidR="00A272A0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F3">
              <w:rPr>
                <w:rFonts w:ascii="Times New Roman" w:hAnsi="Times New Roman" w:cs="Times New Roman"/>
                <w:sz w:val="28"/>
                <w:szCs w:val="28"/>
              </w:rPr>
              <w:t>расходы на работы, связанные с отделкой квартиры, комнаты или доли (долей) в них, а также расходы на разработку проектной и сметной документации на проведение отделочных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A0" w:rsidRPr="002F6EC1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6EC1">
              <w:rPr>
                <w:rFonts w:ascii="Times New Roman" w:hAnsi="Times New Roman" w:cs="Times New Roman"/>
                <w:sz w:val="28"/>
                <w:szCs w:val="28"/>
              </w:rPr>
              <w:t>ринятие к вычету расходов на достройку и отделку приобретенного жилого дома или доли (долей) в них либо отделку приобретенной квартиры, комнаты или доли (долей) в них возможно в том случае, если договор, на основании которого осуществлено такое приобретение, предусматривает приобретение не завершенных строительством жилого дома, квартиры, комнаты (прав на квартиру, комнату) без отделки или доли (долей) в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272A0" w:rsidRPr="00275B9F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5B9F">
              <w:rPr>
                <w:rFonts w:ascii="Times New Roman" w:hAnsi="Times New Roman" w:cs="Times New Roman"/>
                <w:sz w:val="28"/>
                <w:szCs w:val="28"/>
              </w:rPr>
              <w:t xml:space="preserve">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указанного в </w:t>
            </w:r>
            <w:hyperlink r:id="rId7" w:history="1">
              <w:r w:rsidRPr="00275B9F">
                <w:rPr>
                  <w:rFonts w:ascii="Times New Roman" w:hAnsi="Times New Roman" w:cs="Times New Roman"/>
                  <w:sz w:val="28"/>
                  <w:szCs w:val="28"/>
                </w:rPr>
                <w:t>подпункте 3 пункта 1</w:t>
              </w:r>
            </w:hyperlink>
            <w:r w:rsidRPr="00275B9F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 НК РФ</w:t>
            </w:r>
            <w:r w:rsidRPr="00275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56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056E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превышающем 2 000 000* рублей.</w:t>
            </w:r>
          </w:p>
          <w:p w:rsidR="00A272A0" w:rsidRDefault="00863D43" w:rsidP="00474094">
            <w:pPr>
              <w:spacing w:after="0" w:line="240" w:lineRule="auto"/>
              <w:ind w:firstLine="720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b/>
                <w:sz w:val="28"/>
                <w:szCs w:val="28"/>
                <w:vertAlign w:val="superscript"/>
              </w:rPr>
              <w:t>(</w:t>
            </w:r>
            <w:r w:rsidR="00A272A0" w:rsidRPr="007319C9">
              <w:rPr>
                <w:b/>
                <w:sz w:val="40"/>
                <w:szCs w:val="40"/>
                <w:vertAlign w:val="superscript"/>
              </w:rPr>
              <w:t>*</w:t>
            </w:r>
            <w:r w:rsidR="00A272A0" w:rsidRPr="007319C9">
              <w:rPr>
                <w:b/>
                <w:sz w:val="28"/>
                <w:szCs w:val="28"/>
                <w:vertAlign w:val="superscript"/>
              </w:rPr>
              <w:t xml:space="preserve"> -  </w:t>
            </w:r>
            <w:r w:rsidR="00A272A0" w:rsidRPr="007319C9">
              <w:rPr>
                <w:sz w:val="28"/>
                <w:szCs w:val="28"/>
                <w:vertAlign w:val="superscript"/>
              </w:rPr>
              <w:t>распространено на правоотношения, возникшие с 01.01.2008г. (до 01.01.2008</w:t>
            </w:r>
            <w:r w:rsidR="00A272A0">
              <w:rPr>
                <w:sz w:val="28"/>
                <w:szCs w:val="28"/>
                <w:vertAlign w:val="superscript"/>
              </w:rPr>
              <w:t>г.</w:t>
            </w:r>
            <w:r w:rsidR="00A272A0" w:rsidRPr="007319C9">
              <w:rPr>
                <w:sz w:val="28"/>
                <w:szCs w:val="28"/>
                <w:vertAlign w:val="superscript"/>
              </w:rPr>
              <w:t xml:space="preserve">  - не более 1000 000 руб.)</w:t>
            </w:r>
            <w:proofErr w:type="gramEnd"/>
          </w:p>
          <w:p w:rsidR="00485AC6" w:rsidRDefault="00485AC6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A0" w:rsidRPr="00D126EC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26EC">
              <w:rPr>
                <w:rFonts w:ascii="Times New Roman" w:hAnsi="Times New Roman" w:cs="Times New Roman"/>
                <w:sz w:val="28"/>
                <w:szCs w:val="28"/>
              </w:rPr>
              <w:t>мущественный налоговый вычет предоставляется налогоплательщику на основании документов, подтверждающих возникновение права на указанный вычет, платежных документов, оформленных в установленном порядке и подтверждающих произведенные налогоплательщиком расходы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</w:t>
            </w:r>
            <w:proofErr w:type="gramEnd"/>
            <w:r w:rsidRPr="00D126EC">
              <w:rPr>
                <w:rFonts w:ascii="Times New Roman" w:hAnsi="Times New Roman" w:cs="Times New Roman"/>
                <w:sz w:val="28"/>
                <w:szCs w:val="28"/>
              </w:rPr>
              <w:t xml:space="preserve"> продавца и другие документы).</w:t>
            </w:r>
          </w:p>
          <w:p w:rsidR="00A272A0" w:rsidRPr="00D94D24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С 1 января 2014 г. для получения указанного вычета и вычета по расходам на погашение процентов физическому лицу не нужно подавать заявление.</w:t>
            </w:r>
          </w:p>
          <w:p w:rsidR="00A272A0" w:rsidRPr="00D94D24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ст.220</w:t>
            </w: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 xml:space="preserve"> НК РФ не содержит положений о распределении имущественного вычета по расходам на приобретение жилья между совладельцами при покупке недвижимости в общую долевую или общую совместную собственность. Таким образом,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 xml:space="preserve"> при приобретении (строительстве) недвижимости после 01.01.2014г.</w:t>
            </w: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совладельцев вправе получить указанный вычет в пределах 2 </w:t>
            </w:r>
            <w:proofErr w:type="spellStart"/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75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 xml:space="preserve"> Если же участник общей долевой или общей совместной собственности не обратился в инспекцию, он сохраняет право на получение такого вычета по другому объекту недвижимости в полном объеме.</w:t>
            </w:r>
          </w:p>
          <w:p w:rsidR="00A272A0" w:rsidRPr="00D94D24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 года</w:t>
            </w: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 xml:space="preserve"> также законодательно установлена возможность родителей (опекунов, попечителей, усыновителей и приемных родителей) получить имущественные вычеты по расходам на покупку жилья и на погашение процентов в отношении объектов недвижимости, приобретенных за счет средств этих физических лиц в собственность их несовершеннолетних детей (подопечных). Данная позиция относительно правомерности получения данного вычета родителями была отражена Конституционным Судом РФ в </w:t>
            </w:r>
            <w:hyperlink r:id="rId8" w:history="1">
              <w:r w:rsidRPr="00D94D2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01.03.2012г. №</w:t>
            </w:r>
            <w:r w:rsidRPr="00D94D24">
              <w:rPr>
                <w:rFonts w:ascii="Times New Roman" w:hAnsi="Times New Roman" w:cs="Times New Roman"/>
                <w:sz w:val="28"/>
                <w:szCs w:val="28"/>
              </w:rPr>
              <w:t>6-П.</w:t>
            </w:r>
          </w:p>
          <w:p w:rsidR="00A272A0" w:rsidRPr="00741F7A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A0" w:rsidRPr="002D6F6E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налоговые вычеты, предусмотренные </w:t>
            </w:r>
            <w:hyperlink r:id="rId9" w:history="1">
              <w:r w:rsidRPr="002D6F6E">
                <w:rPr>
                  <w:rFonts w:ascii="Times New Roman" w:hAnsi="Times New Roman" w:cs="Times New Roman"/>
                  <w:sz w:val="28"/>
                  <w:szCs w:val="28"/>
                </w:rPr>
                <w:t>подпунктами 3</w:t>
              </w:r>
            </w:hyperlink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0" w:history="1">
              <w:r w:rsidRPr="002D6F6E">
                <w:rPr>
                  <w:rFonts w:ascii="Times New Roman" w:hAnsi="Times New Roman" w:cs="Times New Roman"/>
                  <w:sz w:val="28"/>
                  <w:szCs w:val="28"/>
                </w:rPr>
                <w:t>4 пункта 1</w:t>
              </w:r>
            </w:hyperlink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 НК РФ</w:t>
            </w:r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6F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предоставляются</w:t>
            </w:r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расходов налогоплательщика на новое строительство либо приобретение на территории Российской Федерации жилого дома, квартиры, комнаты или доли (долей) в них, покрываемых за счет средств работодателей или иных лиц, средств материнского (семейного) капитала, направляемых на обеспечение реализации дополнительных мер государственной поддержки семей, имеющих</w:t>
            </w:r>
            <w:proofErr w:type="gramEnd"/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 детей, за счет выплат, предоставленных из средств бюджетов бюджетной системы Российской Федерации, а также в случаях, если сделка купли-продажи жилого дома, квартиры, комнаты или доли (долей) в них совершается между физическими лицами, являющимися взаимозависимыми в соответствии со </w:t>
            </w:r>
            <w:hyperlink r:id="rId11" w:history="1">
              <w:r w:rsidRPr="002D6F6E">
                <w:rPr>
                  <w:rFonts w:ascii="Times New Roman" w:hAnsi="Times New Roman" w:cs="Times New Roman"/>
                  <w:sz w:val="28"/>
                  <w:szCs w:val="28"/>
                </w:rPr>
                <w:t>статьей 105.1</w:t>
              </w:r>
            </w:hyperlink>
            <w:r w:rsidRPr="002D6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 РФ</w:t>
            </w:r>
            <w:r w:rsidRPr="002D6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A0" w:rsidRPr="003F6A6A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6A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Повторное предоставление налоговых вычетов, </w:t>
            </w:r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предусмотренных </w:t>
            </w:r>
            <w:hyperlink r:id="rId12" w:history="1">
              <w:r w:rsidRPr="003F6A6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подпунктами 3</w:t>
              </w:r>
            </w:hyperlink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hyperlink r:id="rId13" w:history="1">
              <w:r w:rsidRPr="003F6A6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4 пункта 1</w:t>
              </w:r>
            </w:hyperlink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статьи 220 НК РФ, </w:t>
            </w:r>
            <w:r w:rsidRPr="003F6A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 допускается.</w:t>
            </w:r>
          </w:p>
          <w:p w:rsidR="00A272A0" w:rsidRPr="003F6A6A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Если в налоговом периоде имущественные налоговые вычеты, предусмотренные </w:t>
            </w:r>
            <w:hyperlink r:id="rId14" w:history="1">
              <w:r w:rsidRPr="003F6A6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подпунктами 3</w:t>
              </w:r>
            </w:hyperlink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(или) </w:t>
            </w:r>
            <w:hyperlink r:id="rId15" w:history="1">
              <w:r w:rsidRPr="003F6A6A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4 пункта 1</w:t>
              </w:r>
            </w:hyperlink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220 НК РФ</w:t>
            </w:r>
            <w:r w:rsidRPr="003F6A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не могут быть использованы полностью, их остаток может быть перенесен на последующие налоговые периоды до полного их использования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A272A0" w:rsidRPr="00216CF6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216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 налогоплательщиков, получающих пенсии в соответствии с законодательством Российской Федерации, имущественные налоговые вычеты, предусмотренные </w:t>
            </w:r>
            <w:hyperlink r:id="rId16" w:history="1">
              <w:r w:rsidRPr="00216CF6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подпунктами 3</w:t>
              </w:r>
            </w:hyperlink>
            <w:r w:rsidRPr="00216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hyperlink r:id="rId17" w:history="1">
              <w:r w:rsidRPr="00216CF6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4 пункта 1</w:t>
              </w:r>
            </w:hyperlink>
            <w:r w:rsidRPr="00216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220 НК РФ</w:t>
            </w:r>
            <w:r w:rsidRPr="00216CF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могут быть перенесены на предшествующие налоговые периоды, но не более трех, непосредственно предшествующих налоговому периоду, в котором образовался переносимый остаток имущественных налоговых вычетов.</w:t>
            </w:r>
            <w:proofErr w:type="gramEnd"/>
          </w:p>
          <w:p w:rsidR="00A272A0" w:rsidRPr="00B277CB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7CB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налоговые вычеты предоставляются при подаче налогоплательщиком </w:t>
            </w:r>
            <w:hyperlink r:id="rId18" w:history="1">
              <w:r w:rsidRPr="00B277CB">
                <w:rPr>
                  <w:rFonts w:ascii="Times New Roman" w:hAnsi="Times New Roman" w:cs="Times New Roman"/>
                  <w:sz w:val="28"/>
                  <w:szCs w:val="28"/>
                </w:rPr>
                <w:t>налоговой декларации</w:t>
              </w:r>
            </w:hyperlink>
            <w:r w:rsidRPr="00B277CB">
              <w:rPr>
                <w:rFonts w:ascii="Times New Roman" w:hAnsi="Times New Roman" w:cs="Times New Roman"/>
                <w:sz w:val="28"/>
                <w:szCs w:val="28"/>
              </w:rPr>
              <w:t xml:space="preserve"> в налоговые органы по окончании налогового периода, если иное не предусмотрено статьей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220 НК РФ</w:t>
            </w:r>
            <w:r w:rsidRPr="00B27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2A0" w:rsidRDefault="00A272A0" w:rsidP="00474094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272A0" w:rsidRPr="00690CCE" w:rsidRDefault="00A272A0" w:rsidP="00474094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Имущественные налоговые вычеты, предусмотренные </w:t>
            </w:r>
            <w:hyperlink r:id="rId19" w:history="1">
              <w:r w:rsidRPr="00690CCE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подпунктами 3</w:t>
              </w:r>
            </w:hyperlink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hyperlink r:id="rId20" w:history="1">
              <w:r w:rsidRPr="00690CCE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4 пункта 1</w:t>
              </w:r>
            </w:hyperlink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220 НК РФ</w:t>
            </w:r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690C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могут быть предоставлены налогоплательщику до окончания налогового периода при его обращении с письменным заявлением к работодателю</w:t>
            </w:r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(далее - налоговый агент) при условии подтверждения права налогоплательщика на имущественные налоговые вычеты налоговым органом по </w:t>
            </w:r>
            <w:hyperlink r:id="rId21" w:history="1">
              <w:r w:rsidRPr="00690CCE">
                <w:rPr>
                  <w:rFonts w:ascii="Times New Roman" w:hAnsi="Times New Roman" w:cs="Times New Roman"/>
                  <w:bCs/>
                  <w:iCs/>
                  <w:sz w:val="28"/>
                  <w:szCs w:val="28"/>
                </w:rPr>
                <w:t>форме</w:t>
              </w:r>
            </w:hyperlink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утверждаемой федеральным органом исполнительной власти, уполномоченным по контролю и надзору в области налогов и</w:t>
            </w:r>
            <w:proofErr w:type="gramEnd"/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сборов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144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П</w:t>
            </w:r>
            <w:r w:rsidRPr="00B277C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>риказом ФНС России</w:t>
            </w: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277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14.01.2015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Pr="00B277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  <w:r w:rsidRPr="00B277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ММВ-7-11/3@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Pr="00690C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A272A0" w:rsidRPr="003C1013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Налогоплательщик имеет право на получение имущественных налоговых вычетов у одного или нескольких налоговых аге</w:t>
            </w:r>
            <w:r w:rsidR="00CC087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нтов по своему выбору. В случае</w:t>
            </w:r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если, получив имущественный налоговый вычет у одного налогового агента, налогоплательщик обращается за получением имущественного налогового вычета к другому налоговому агенту, указанный вычет предоставляется в порядке, предусмотренном </w:t>
            </w:r>
            <w:hyperlink r:id="rId22" w:history="1">
              <w:r w:rsidRPr="003C1013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пунктом 7</w:t>
              </w:r>
            </w:hyperlink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статьи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220 НК РФ</w:t>
            </w:r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 пунктом</w:t>
            </w:r>
            <w:r w:rsidR="001122F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8 ст.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220 НК РФ</w:t>
            </w:r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Налоговый агент обязан предоставить имущественные налоговые вычеты при получении от налогоплательщика </w:t>
            </w:r>
            <w:hyperlink r:id="rId23" w:history="1">
              <w:r w:rsidRPr="003C1013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подтверждения права</w:t>
              </w:r>
            </w:hyperlink>
            <w:r w:rsidRPr="003C10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 имущественные налоговые вычеты, выданного налоговым органом, с указанием суммы имущественного налогового вычета, который налогоплательщик вправе получить у каждого налогового агента, указанного в подтверждении.</w:t>
            </w:r>
          </w:p>
          <w:p w:rsidR="00A272A0" w:rsidRDefault="00CC087C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В соответствии с п</w:t>
            </w:r>
            <w:r w:rsidR="00227CBA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.</w:t>
            </w:r>
            <w:r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8 ст.220 НК РФ п</w:t>
            </w:r>
            <w:r w:rsidR="00A272A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раво на получение налогоплательщиком имущественных налоговых вычетов</w:t>
            </w:r>
            <w:r w:rsidR="00CE33EB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,</w:t>
            </w:r>
            <w:r w:rsidR="00A272A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</w:t>
            </w:r>
            <w:r w:rsidR="00CE33EB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предусмотренных </w:t>
            </w:r>
            <w:hyperlink r:id="rId24" w:history="1">
              <w:r w:rsidR="00CE33EB" w:rsidRPr="00B94BCB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highlight w:val="yellow"/>
                </w:rPr>
                <w:t>подпунктами 3</w:t>
              </w:r>
            </w:hyperlink>
            <w:r w:rsidR="00CE33EB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и </w:t>
            </w:r>
            <w:hyperlink r:id="rId25" w:history="1">
              <w:r w:rsidR="00CE33EB" w:rsidRPr="00B94BCB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highlight w:val="yellow"/>
                </w:rPr>
                <w:t>4 пункта 1</w:t>
              </w:r>
            </w:hyperlink>
            <w:r w:rsidR="00CE33EB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статьи 220 НК РФ, </w:t>
            </w:r>
            <w:r w:rsidR="00A272A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у налоговых агентов </w:t>
            </w:r>
            <w:r w:rsidR="00A272A0" w:rsidRPr="00B94B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  <w:t>должно быть подтверждено налоговым органом в срок, не превышающий 30 календарных дней</w:t>
            </w:r>
            <w:r w:rsidR="00A272A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 xml:space="preserve"> со дня подачи заявления налогоплательщика и документов, подтверждающих право на получение </w:t>
            </w:r>
            <w:r w:rsidR="0080075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имущественных налоговых вычетов</w:t>
            </w:r>
            <w:r w:rsidR="00A272A0" w:rsidRPr="00B94BC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  <w:t>.</w:t>
            </w:r>
            <w:proofErr w:type="gramEnd"/>
          </w:p>
          <w:p w:rsidR="00A272A0" w:rsidRPr="004C1510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5CA8" w:rsidRDefault="008B5CA8" w:rsidP="002F7E27">
            <w:pPr>
              <w:spacing w:after="0" w:line="240" w:lineRule="auto"/>
              <w:ind w:left="705" w:right="7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5CA8" w:rsidRDefault="008B5CA8" w:rsidP="002F7E27">
            <w:pPr>
              <w:spacing w:after="0" w:line="240" w:lineRule="auto"/>
              <w:ind w:left="705" w:right="7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5CA8" w:rsidRDefault="008B5CA8" w:rsidP="002F7E27">
            <w:pPr>
              <w:spacing w:after="0" w:line="240" w:lineRule="auto"/>
              <w:ind w:left="705" w:right="77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7E27" w:rsidRPr="00124D99" w:rsidRDefault="002F7E27" w:rsidP="002F7E27">
            <w:pPr>
              <w:spacing w:after="0" w:line="240" w:lineRule="auto"/>
              <w:ind w:left="705" w:right="77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124D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Для пол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учения налогового вычета по пп.3 и 4</w:t>
            </w:r>
            <w:r w:rsidRPr="00124D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п.1 ст.220 НК РФ  (при покупке </w:t>
            </w:r>
            <w:r w:rsidRPr="00124D9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(строительстве) жилья, налогоплательщик обязан представить в налоговую инспекцию:</w:t>
            </w:r>
          </w:p>
          <w:p w:rsidR="002F7E27" w:rsidRPr="002D3BE2" w:rsidRDefault="002F7E27" w:rsidP="002F7E27">
            <w:pPr>
              <w:pStyle w:val="ConsPlusNormal"/>
              <w:ind w:left="360" w:firstLine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F7E27" w:rsidRDefault="002F7E27" w:rsidP="002F7E2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Налоговую декларацию по форме 3-НДФЛ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;</w:t>
            </w:r>
          </w:p>
          <w:p w:rsidR="002F7E27" w:rsidRDefault="002F7E27" w:rsidP="002F7E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Копия д</w:t>
            </w:r>
            <w:r w:rsidRPr="000360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оговор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</w:t>
            </w:r>
            <w:r w:rsidRPr="000360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 приобретении жилого дома или доли (долей) в нем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дополнительны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 соглашения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 нему 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при условии их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заключения)</w:t>
            </w:r>
            <w:r w:rsidRPr="0003600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документы, подтверждающие право собственности налогоплательщика на жилой дом или долю (доли) в нем, - </w:t>
            </w:r>
            <w:r w:rsidRPr="000360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 строительстве или приобретении жилого дома или доли (долей) в нем;</w:t>
            </w:r>
          </w:p>
          <w:p w:rsidR="002F7E27" w:rsidRPr="00000AA4" w:rsidRDefault="002F7E27" w:rsidP="002F7E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B6D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Копия договора приобретения </w:t>
            </w:r>
            <w:r w:rsidRPr="007B6D4F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земельных участков или доли (долей) в них</w:t>
            </w:r>
            <w:r w:rsidRPr="00000AA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7B6D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 приложениями и дополн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ительными соглашениями к нему (при</w:t>
            </w:r>
            <w:r w:rsidRPr="007B6D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условии их</w:t>
            </w:r>
            <w:r w:rsidRPr="007B6D4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заключ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ения</w:t>
            </w:r>
            <w:r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 –</w:t>
            </w:r>
            <w:r w:rsidRPr="007B6D4F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000AA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при приобретении земельных участков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,</w:t>
            </w:r>
            <w:r w:rsidRPr="00000AA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предоставленных для индивидуального жилищного стро</w:t>
            </w:r>
            <w:r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ительства, и земельных участков, </w:t>
            </w:r>
            <w:r w:rsidRPr="00000AA4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eastAsia="en-US"/>
              </w:rPr>
              <w:t>на которых расположены приобретаемые жилые дома</w:t>
            </w:r>
            <w:r w:rsidRPr="00000A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Копия д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оговор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о приобретении квартиры, комнаты или доли (долей) в 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дополнительны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 соглашения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 нему 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при условии их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заключения) 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и документы, подтверждающие право собственности налогоплательщика на квартиру, комнату или долю (доли) в них, - 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при приобретении квартиры, комнаты или доли (долей) в них в собственность;</w:t>
            </w:r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Копия 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договор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участия в долевом строительстве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дополнительны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соглашения к нему 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при условии их </w:t>
            </w:r>
            <w:r w:rsidRPr="00B7321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заключения) 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 передаточный акт или иной документ о передаче объекта долевого строительства застройщиком и принятие его участником долевого строительства, подписанный сторонами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 - при приобретении прав на объект долевого строительства (квартиру или комнату в строящемся доме);</w:t>
            </w:r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Копия 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ов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х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право собственности налогоплательщика на земельный участок или долю (доли) в нем, и документы, подтверждающие право собственности на жилой дом или долю (доли) в нем, 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 при приобретении земельных участков или доли (долей) в них, предоставленных для индивидуального жилищного строительства, и земельных участков, на которых расположены приобретаемые жилые дома или доля (доли) в них;</w:t>
            </w:r>
            <w:proofErr w:type="gramEnd"/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свидетельства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о рождении ребенка 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- при приобретении родителями жилого дома, квартиры, комнаты или доли (долей) в них,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них, в собственность своих детей в возрасте до 18 лет;</w:t>
            </w:r>
            <w:proofErr w:type="gramEnd"/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решения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органа опеки и попечительства об установлении опеки или попечительства 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- при приобретении опекунами (попечителями) жилого дома, квартиры, комнаты или доли (долей) в них, земельных участков или доли (долей) в них, предоставленных для индивидуального жилищного строительства, и земельных участков или доли (долей) в них, </w:t>
            </w:r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>на которых расположены приобретаемые жилые дома или доля (доли) в них, в собственность своих подопечных в</w:t>
            </w:r>
            <w:proofErr w:type="gramEnd"/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возрасте</w:t>
            </w:r>
            <w:proofErr w:type="gramEnd"/>
            <w:r w:rsidRPr="0003600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до 18 лет;</w:t>
            </w:r>
          </w:p>
          <w:p w:rsidR="002F7E27" w:rsidRPr="00036007" w:rsidRDefault="002F7E27" w:rsidP="002F7E27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Копии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документов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х</w:t>
            </w:r>
            <w:r w:rsidRPr="0003600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произведенные налогоплательщиком расходы </w:t>
            </w:r>
            <w:r w:rsidRPr="0009139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давца и другие документы);</w:t>
            </w:r>
          </w:p>
          <w:p w:rsidR="002F7E27" w:rsidRPr="009523E4" w:rsidRDefault="002F7E27" w:rsidP="002F7E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9523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Копия кредитного договора (д</w:t>
            </w:r>
            <w:r w:rsidRPr="009523E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оговор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 займа) –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для получения вычета </w:t>
            </w:r>
            <w:r w:rsidRPr="00CB250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сумме фактически произведенных налогоплательщиком расходов на погашение процентов по целевым займам (кредитам)</w:t>
            </w:r>
            <w:r w:rsidRPr="005B55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;</w:t>
            </w:r>
          </w:p>
          <w:p w:rsidR="002F7E27" w:rsidRPr="002F7E27" w:rsidRDefault="002F7E27" w:rsidP="002F7E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2A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Копии документов, подтверждающих факт уплаты денежных сре</w:t>
            </w:r>
            <w:proofErr w:type="gramStart"/>
            <w:r w:rsidRPr="00B22A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дств в п</w:t>
            </w:r>
            <w:proofErr w:type="gramEnd"/>
            <w:r w:rsidRPr="00B22A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огашение процентов по кредиту </w:t>
            </w:r>
            <w:r w:rsidRPr="00B22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(например, справка банка об уплаченных процентах по кредитному договору (договору займу)) </w:t>
            </w:r>
            <w:r w:rsidRPr="00B22AB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– </w:t>
            </w:r>
            <w:r w:rsidRPr="00B22AB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получения вычета в сумме фактически произведенных налогоплательщиком расходов на погашение процентов по целевым займам (кредитам);</w:t>
            </w:r>
          </w:p>
          <w:p w:rsidR="00A272A0" w:rsidRPr="002F7E27" w:rsidRDefault="002F7E27" w:rsidP="002F7E2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F7E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Заявление на возврат НДФЛ </w:t>
            </w:r>
            <w:r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proofErr w:type="spellStart"/>
            <w:r w:rsidR="00306524"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см</w:t>
            </w:r>
            <w:proofErr w:type="gramStart"/>
            <w:r w:rsidR="00306524"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  <w:r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proofErr w:type="gramEnd"/>
            <w:r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риложение</w:t>
            </w:r>
            <w:proofErr w:type="spellEnd"/>
            <w:r w:rsidRPr="0030652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№4).</w:t>
            </w:r>
          </w:p>
          <w:p w:rsidR="002F7E27" w:rsidRPr="00855900" w:rsidRDefault="002F7E27" w:rsidP="002F7E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2A0" w:rsidRPr="00ED2E13" w:rsidRDefault="00A272A0" w:rsidP="004740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3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внимание!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Если налогоплательщик получает только доходы, для которых установлены иные налоговые ставки, то он не имеет право на данный вычет. Не имеют право на вычет так же и предприниматели, применяющие систему единого налога на вмененный доход (ЕНВД) и упрощенную систему налогообложения (УСН), систему налогообложения для </w:t>
            </w:r>
            <w:hyperlink r:id="rId26" w:history="1">
              <w:r w:rsidRPr="00ED2E13">
                <w:rPr>
                  <w:rFonts w:ascii="Times New Roman" w:hAnsi="Times New Roman" w:cs="Times New Roman"/>
                  <w:sz w:val="28"/>
                  <w:szCs w:val="28"/>
                </w:rPr>
                <w:t>сельскохозяйственных товаропроизводителей</w:t>
              </w:r>
            </w:hyperlink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(ЕСН).</w:t>
            </w:r>
          </w:p>
          <w:p w:rsidR="00A272A0" w:rsidRPr="00ED2E13" w:rsidRDefault="00A272A0" w:rsidP="004740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Согласно пункту 8 статьи 78 НК РФ заявление о возврате суммы излишне уплаченного налога может быть подано в течение трех лет со дня уплаты указанной суммы (налога)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(см. Приложение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755E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A0" w:rsidRPr="00ED2E13" w:rsidRDefault="00A272A0" w:rsidP="004740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Например: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объекту, приобретенному в 2011 году 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налогоплательщик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(если имущественный налоговый вычет не заявлялся) 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году может заявить о своем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не использованном праве на имущественный налоговый вычет по доходам, полученным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годах и вернуть налог на доходы физических лиц за эти годы, представив налоговые декларац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ии, соответствующие документы 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в налоговый орган по месту жительства.</w:t>
            </w:r>
            <w:proofErr w:type="gramEnd"/>
          </w:p>
          <w:p w:rsidR="00A272A0" w:rsidRPr="00ED2E13" w:rsidRDefault="00A272A0" w:rsidP="004740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Для получения имущественного налог</w:t>
            </w:r>
            <w:r w:rsidR="000B2987">
              <w:rPr>
                <w:rFonts w:ascii="Times New Roman" w:hAnsi="Times New Roman" w:cs="Times New Roman"/>
                <w:sz w:val="28"/>
                <w:szCs w:val="28"/>
              </w:rPr>
              <w:t>ового вычета налогоплательщиком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 окончания налогового периода при его обращении к работодателю необходимо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</w:t>
            </w:r>
            <w:proofErr w:type="gramStart"/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в налоговом органе по месту жительства </w:t>
            </w:r>
            <w:r w:rsidRPr="00ED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Уведомление о подтверждении налоговым органом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права налогоплательщика на имущественный налоговый вычет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 по налогу</w:t>
            </w:r>
            <w:proofErr w:type="gramEnd"/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на доходы физических лиц</w:t>
            </w:r>
            <w:r w:rsidR="000B29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(см. Приложение №</w:t>
            </w:r>
            <w:r w:rsidR="000B29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0B2987" w:rsidRPr="00A516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A0" w:rsidRPr="00ED2E13" w:rsidRDefault="00A272A0" w:rsidP="004740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Для получения Уведомления</w:t>
            </w:r>
            <w:r w:rsidR="00574D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в налоговый орган необходимо </w:t>
            </w:r>
            <w:proofErr w:type="gramStart"/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предоставить следующие документы</w:t>
            </w:r>
            <w:proofErr w:type="gramEnd"/>
            <w:r w:rsidRPr="00ED2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2A0" w:rsidRPr="00ED2E13" w:rsidRDefault="00A272A0" w:rsidP="00474094">
            <w:pPr>
              <w:numPr>
                <w:ilvl w:val="0"/>
                <w:numId w:val="2"/>
              </w:numPr>
              <w:tabs>
                <w:tab w:val="clear" w:pos="1428"/>
                <w:tab w:val="num" w:pos="540"/>
              </w:tabs>
              <w:spacing w:after="0" w:line="240" w:lineRule="auto"/>
              <w:ind w:left="720" w:firstLine="0"/>
              <w:jc w:val="both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приобретение и право 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на квартиру, жилой дом, комнату, доли (долей) в них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копии;</w:t>
            </w:r>
          </w:p>
          <w:p w:rsidR="00A272A0" w:rsidRPr="00ED2E13" w:rsidRDefault="00A272A0" w:rsidP="00474094">
            <w:pPr>
              <w:numPr>
                <w:ilvl w:val="0"/>
                <w:numId w:val="2"/>
              </w:numPr>
              <w:tabs>
                <w:tab w:val="clear" w:pos="1428"/>
                <w:tab w:val="num" w:pos="540"/>
              </w:tabs>
              <w:spacing w:after="0" w:line="240" w:lineRule="auto"/>
              <w:ind w:left="720"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 подтверждающие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фактические расходы на новое строительство или приобретение квартиры, дома или комнаты, погашение проценто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в по целевому займу 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по кредиту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копии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2A0" w:rsidRPr="00ED2E13" w:rsidRDefault="00A272A0" w:rsidP="00474094">
            <w:pPr>
              <w:numPr>
                <w:ilvl w:val="0"/>
                <w:numId w:val="2"/>
              </w:numPr>
              <w:tabs>
                <w:tab w:val="clear" w:pos="1428"/>
                <w:tab w:val="num" w:pos="540"/>
              </w:tabs>
              <w:spacing w:after="0" w:line="240" w:lineRule="auto"/>
              <w:ind w:left="720" w:firstLine="0"/>
              <w:jc w:val="both"/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</w:pPr>
            <w:r w:rsidRPr="00ED2E1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Письменное заявление на получение уведомления о подтверждении права на получение налогового вычета у работодателя.</w:t>
            </w:r>
          </w:p>
          <w:p w:rsidR="00A272A0" w:rsidRPr="00ED2E13" w:rsidRDefault="00A272A0" w:rsidP="0047409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229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0B2987">
              <w:rPr>
                <w:rFonts w:ascii="Times New Roman" w:hAnsi="Times New Roman" w:cs="Times New Roman"/>
                <w:sz w:val="28"/>
                <w:szCs w:val="28"/>
              </w:rPr>
              <w:t>, подтверждающее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право налогоплательщика на имущественный налоговый вычет по налогу на доходы физических лиц</w:t>
            </w:r>
            <w:r w:rsidR="000B2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2E1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в бухгалтерию работодателя.</w:t>
            </w:r>
          </w:p>
          <w:p w:rsidR="00A272A0" w:rsidRPr="006A29A1" w:rsidRDefault="00A272A0" w:rsidP="00474094">
            <w:pPr>
              <w:pStyle w:val="a5"/>
              <w:ind w:left="138"/>
              <w:rPr>
                <w:rStyle w:val="a4"/>
                <w:bCs w:val="0"/>
                <w:i w:val="0"/>
                <w:szCs w:val="28"/>
                <w:u w:val="single"/>
              </w:rPr>
            </w:pPr>
          </w:p>
          <w:p w:rsidR="00A272A0" w:rsidRPr="006A29A1" w:rsidRDefault="00A272A0" w:rsidP="00474094">
            <w:pPr>
              <w:pStyle w:val="a5"/>
              <w:ind w:left="138"/>
              <w:rPr>
                <w:rStyle w:val="a4"/>
                <w:bCs w:val="0"/>
                <w:i w:val="0"/>
                <w:szCs w:val="28"/>
                <w:u w:val="single"/>
              </w:rPr>
            </w:pPr>
            <w:r w:rsidRPr="006A29A1">
              <w:rPr>
                <w:rStyle w:val="a4"/>
                <w:bCs w:val="0"/>
                <w:szCs w:val="28"/>
                <w:u w:val="single"/>
              </w:rPr>
              <w:t>Получение имущественного налогового вычета при продаже имущества.</w:t>
            </w:r>
          </w:p>
          <w:p w:rsidR="00A272A0" w:rsidRDefault="00A272A0" w:rsidP="00474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Вычет предоставляется:</w:t>
            </w:r>
          </w:p>
          <w:p w:rsidR="00A272A0" w:rsidRPr="00975BEA" w:rsidRDefault="00A272A0" w:rsidP="00A272A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размере доходов, полученных налогоплательщиком в налоговом периоде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продажи жилых домов, квартир, комнат,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включая приватизированные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 помещения, дач, садовых домиков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земельных участков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доли (долей)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указанном имуществе, находившихся в собственности налогоплательщика менее минимального предельного срока владения объектом недвижимого имущества, установленного в соответствии со </w:t>
            </w:r>
            <w:hyperlink r:id="rId27" w:history="1">
              <w:r w:rsidRPr="00975BE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статьей 217.1</w:t>
              </w:r>
            </w:hyperlink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 РФ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>, не превышающем в целом 1 000 000 рублей;</w:t>
            </w:r>
            <w:proofErr w:type="gramEnd"/>
          </w:p>
          <w:p w:rsidR="00A272A0" w:rsidRPr="00975BEA" w:rsidRDefault="00A272A0" w:rsidP="00A272A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размере доходов, полученных налогоплательщиком в налоговом периоде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продажи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иного недвижимого имущества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находившегося в собственности налогоплательщика менее минимального предельного срока владения объектом недвижимого имущества, установленного в соответствии со </w:t>
            </w:r>
            <w:hyperlink r:id="rId28" w:history="1">
              <w:r w:rsidRPr="00975BEA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статьей 217.1</w:t>
              </w:r>
            </w:hyperlink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 РФ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>, не превышающем в целом 250 000 рублей;</w:t>
            </w:r>
            <w:proofErr w:type="gramEnd"/>
          </w:p>
          <w:p w:rsidR="00A272A0" w:rsidRPr="00975BEA" w:rsidRDefault="00A272A0" w:rsidP="00A272A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размере доходов, полученных налогоплательщиком в налоговом периоде от 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продажи иного имущества (за исключением ценных бумаг)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>, находившегося в собственности налогоплательщика м</w:t>
            </w:r>
            <w:r w:rsidRPr="0097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енее трех лет</w:t>
            </w:r>
            <w:r w:rsidRPr="00975BEA">
              <w:rPr>
                <w:rFonts w:ascii="Times New Roman" w:hAnsi="Times New Roman" w:cs="Times New Roman"/>
                <w:bCs/>
                <w:sz w:val="28"/>
                <w:szCs w:val="28"/>
              </w:rPr>
              <w:t>, не превышающем в целом 250 000 рублей;</w:t>
            </w:r>
          </w:p>
          <w:p w:rsidR="00A272A0" w:rsidRPr="006A29A1" w:rsidRDefault="00A272A0" w:rsidP="00474094">
            <w:pPr>
              <w:pStyle w:val="a5"/>
              <w:ind w:left="138"/>
              <w:rPr>
                <w:rStyle w:val="a4"/>
                <w:bCs w:val="0"/>
                <w:i w:val="0"/>
                <w:szCs w:val="28"/>
                <w:u w:val="single"/>
              </w:rPr>
            </w:pPr>
          </w:p>
          <w:p w:rsidR="00A272A0" w:rsidRPr="006A29A1" w:rsidRDefault="00A272A0" w:rsidP="00474094">
            <w:pPr>
              <w:spacing w:after="0"/>
              <w:ind w:left="138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6A29A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Документы</w:t>
            </w:r>
            <w:r w:rsidRPr="006A29A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, подтверждающие </w:t>
            </w: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доходы от продажи имущества (копии):</w:t>
            </w:r>
          </w:p>
          <w:p w:rsidR="00A272A0" w:rsidRDefault="00A272A0" w:rsidP="00474094">
            <w:pPr>
              <w:pStyle w:val="a7"/>
              <w:ind w:left="138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6A29A1">
              <w:rPr>
                <w:szCs w:val="28"/>
              </w:rPr>
              <w:t xml:space="preserve">витанции; </w:t>
            </w:r>
          </w:p>
          <w:p w:rsidR="00A272A0" w:rsidRDefault="00A272A0" w:rsidP="00474094">
            <w:pPr>
              <w:pStyle w:val="a7"/>
              <w:ind w:left="13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29A1">
              <w:rPr>
                <w:szCs w:val="28"/>
              </w:rPr>
              <w:t xml:space="preserve">расходные ордера; </w:t>
            </w:r>
          </w:p>
          <w:p w:rsidR="00A272A0" w:rsidRDefault="00A272A0" w:rsidP="00474094">
            <w:pPr>
              <w:pStyle w:val="a7"/>
              <w:ind w:left="13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29A1">
              <w:rPr>
                <w:szCs w:val="28"/>
              </w:rPr>
              <w:t xml:space="preserve">банковские выписки о перечислении денежных средств со счета покупателя на счет продавца; </w:t>
            </w:r>
          </w:p>
          <w:p w:rsidR="00A272A0" w:rsidRDefault="00A272A0" w:rsidP="00474094">
            <w:pPr>
              <w:pStyle w:val="a7"/>
              <w:ind w:left="13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29A1">
              <w:rPr>
                <w:szCs w:val="28"/>
              </w:rPr>
              <w:t xml:space="preserve">товарные и кассовые чеки; </w:t>
            </w:r>
          </w:p>
          <w:p w:rsidR="00A272A0" w:rsidRDefault="00A272A0" w:rsidP="00474094">
            <w:pPr>
              <w:pStyle w:val="a7"/>
              <w:ind w:left="13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A29A1">
              <w:rPr>
                <w:szCs w:val="28"/>
              </w:rPr>
              <w:t xml:space="preserve">расписки о передаче денежных средств и другие документы. </w:t>
            </w:r>
          </w:p>
          <w:p w:rsidR="00A272A0" w:rsidRPr="006A29A1" w:rsidRDefault="00A272A0" w:rsidP="00474094">
            <w:pPr>
              <w:pStyle w:val="a7"/>
              <w:ind w:left="138"/>
              <w:rPr>
                <w:szCs w:val="28"/>
              </w:rPr>
            </w:pPr>
          </w:p>
          <w:p w:rsidR="00A272A0" w:rsidRPr="006A29A1" w:rsidRDefault="00A272A0" w:rsidP="00474094">
            <w:pPr>
              <w:spacing w:after="0"/>
              <w:ind w:left="138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6A29A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Копии документов, подтверждающих право собственности проданное имущество (при наличии) и фактические расходы, связанные с </w:t>
            </w:r>
            <w:r w:rsidRPr="006A29A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получением доходов.</w:t>
            </w:r>
          </w:p>
          <w:p w:rsidR="00A272A0" w:rsidRPr="00D1004D" w:rsidRDefault="00A272A0" w:rsidP="00474094">
            <w:pPr>
              <w:spacing w:after="0"/>
              <w:ind w:left="138"/>
              <w:jc w:val="both"/>
              <w:rPr>
                <w:rFonts w:ascii="Times New Roman" w:hAnsi="Times New Roman" w:cs="Times New Roman"/>
              </w:rPr>
            </w:pPr>
            <w:r w:rsidRPr="006A29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A29A1">
              <w:rPr>
                <w:rFonts w:ascii="Times New Roman" w:hAnsi="Times New Roman" w:cs="Times New Roman"/>
                <w:sz w:val="28"/>
                <w:szCs w:val="28"/>
              </w:rPr>
              <w:t>К таким документам относятся договоры купли – продажи движимого и недвижимого имущества, договор купли-продажи  доли (ее части) в уставном капитале организации, договор уступки прав требования по договору участия в долевом строительстве (договору инвестирования долевого строительства или по другому договору, связанному с долевым строительством), иные документы подтверждающие передачу прав собственности на проданное имущество, а также документы, подтверждающие произведённые расходы, связанные с получением</w:t>
            </w:r>
            <w:proofErr w:type="gramEnd"/>
            <w:r w:rsidRPr="006A29A1">
              <w:rPr>
                <w:rFonts w:ascii="Times New Roman" w:hAnsi="Times New Roman" w:cs="Times New Roman"/>
                <w:sz w:val="28"/>
                <w:szCs w:val="28"/>
              </w:rPr>
              <w:t xml:space="preserve"> этих доходов.</w:t>
            </w:r>
          </w:p>
        </w:tc>
      </w:tr>
    </w:tbl>
    <w:p w:rsidR="005D1795" w:rsidRDefault="008B5CA8"/>
    <w:sectPr w:rsidR="005D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1D6"/>
    <w:multiLevelType w:val="hybridMultilevel"/>
    <w:tmpl w:val="1848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45E"/>
    <w:multiLevelType w:val="hybridMultilevel"/>
    <w:tmpl w:val="729896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D4A678B"/>
    <w:multiLevelType w:val="hybridMultilevel"/>
    <w:tmpl w:val="E4DC4930"/>
    <w:lvl w:ilvl="0" w:tplc="07C2D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5205BE"/>
    <w:multiLevelType w:val="hybridMultilevel"/>
    <w:tmpl w:val="0B3C5D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0"/>
    <w:rsid w:val="00055ADB"/>
    <w:rsid w:val="00056E00"/>
    <w:rsid w:val="00074981"/>
    <w:rsid w:val="000836E4"/>
    <w:rsid w:val="000B2987"/>
    <w:rsid w:val="001122F2"/>
    <w:rsid w:val="00172EDD"/>
    <w:rsid w:val="001C35CB"/>
    <w:rsid w:val="002068D9"/>
    <w:rsid w:val="00227CBA"/>
    <w:rsid w:val="0023091F"/>
    <w:rsid w:val="002F7E27"/>
    <w:rsid w:val="00306524"/>
    <w:rsid w:val="003264B1"/>
    <w:rsid w:val="003A7870"/>
    <w:rsid w:val="003B7F88"/>
    <w:rsid w:val="003C2E0A"/>
    <w:rsid w:val="00435774"/>
    <w:rsid w:val="00455E18"/>
    <w:rsid w:val="00465AE4"/>
    <w:rsid w:val="0048225E"/>
    <w:rsid w:val="00485AC6"/>
    <w:rsid w:val="004C0E5B"/>
    <w:rsid w:val="004F59F1"/>
    <w:rsid w:val="00574DAC"/>
    <w:rsid w:val="00581DA6"/>
    <w:rsid w:val="005C3AB8"/>
    <w:rsid w:val="00732ACE"/>
    <w:rsid w:val="00781DA3"/>
    <w:rsid w:val="00785CF5"/>
    <w:rsid w:val="007B598D"/>
    <w:rsid w:val="007F4259"/>
    <w:rsid w:val="00800750"/>
    <w:rsid w:val="00822FE5"/>
    <w:rsid w:val="00863D43"/>
    <w:rsid w:val="008651F9"/>
    <w:rsid w:val="00894C7A"/>
    <w:rsid w:val="008B5CA8"/>
    <w:rsid w:val="00942EEF"/>
    <w:rsid w:val="00972D03"/>
    <w:rsid w:val="009732FA"/>
    <w:rsid w:val="009C53B7"/>
    <w:rsid w:val="00A272A0"/>
    <w:rsid w:val="00A42F3F"/>
    <w:rsid w:val="00AA2424"/>
    <w:rsid w:val="00B20BE0"/>
    <w:rsid w:val="00B71245"/>
    <w:rsid w:val="00B94BCB"/>
    <w:rsid w:val="00BA12E1"/>
    <w:rsid w:val="00C002BF"/>
    <w:rsid w:val="00C4434D"/>
    <w:rsid w:val="00C50DBB"/>
    <w:rsid w:val="00CB4309"/>
    <w:rsid w:val="00CC087C"/>
    <w:rsid w:val="00CE33EB"/>
    <w:rsid w:val="00D325FB"/>
    <w:rsid w:val="00D44FE9"/>
    <w:rsid w:val="00D73193"/>
    <w:rsid w:val="00D75ECF"/>
    <w:rsid w:val="00DC3229"/>
    <w:rsid w:val="00DC66B7"/>
    <w:rsid w:val="00E0491A"/>
    <w:rsid w:val="00E51BE3"/>
    <w:rsid w:val="00E56AEF"/>
    <w:rsid w:val="00F048B7"/>
    <w:rsid w:val="00F35D5E"/>
    <w:rsid w:val="00F60B69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72A0"/>
    <w:rPr>
      <w:b/>
      <w:bCs/>
    </w:rPr>
  </w:style>
  <w:style w:type="character" w:styleId="a4">
    <w:name w:val="Emphasis"/>
    <w:basedOn w:val="a0"/>
    <w:qFormat/>
    <w:rsid w:val="00A272A0"/>
    <w:rPr>
      <w:i/>
      <w:iCs/>
    </w:rPr>
  </w:style>
  <w:style w:type="paragraph" w:customStyle="1" w:styleId="ConsPlusNormal">
    <w:name w:val="ConsPlusNormal"/>
    <w:rsid w:val="00A27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27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a6">
    <w:name w:val="Название Знак"/>
    <w:basedOn w:val="a0"/>
    <w:link w:val="a5"/>
    <w:rsid w:val="00A272A0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7">
    <w:name w:val="Body Text"/>
    <w:basedOn w:val="a"/>
    <w:link w:val="a8"/>
    <w:rsid w:val="00A272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272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27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72A0"/>
    <w:rPr>
      <w:b/>
      <w:bCs/>
    </w:rPr>
  </w:style>
  <w:style w:type="character" w:styleId="a4">
    <w:name w:val="Emphasis"/>
    <w:basedOn w:val="a0"/>
    <w:qFormat/>
    <w:rsid w:val="00A272A0"/>
    <w:rPr>
      <w:i/>
      <w:iCs/>
    </w:rPr>
  </w:style>
  <w:style w:type="paragraph" w:customStyle="1" w:styleId="ConsPlusNormal">
    <w:name w:val="ConsPlusNormal"/>
    <w:rsid w:val="00A27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272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8"/>
    </w:rPr>
  </w:style>
  <w:style w:type="character" w:customStyle="1" w:styleId="a6">
    <w:name w:val="Название Знак"/>
    <w:basedOn w:val="a0"/>
    <w:link w:val="a5"/>
    <w:rsid w:val="00A272A0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a7">
    <w:name w:val="Body Text"/>
    <w:basedOn w:val="a"/>
    <w:link w:val="a8"/>
    <w:rsid w:val="00A272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272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27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4D7FB38007D70DE1E5A0251A09360BD5721BC3C1D5D9952776376DA7DK4B" TargetMode="External"/><Relationship Id="rId13" Type="http://schemas.openxmlformats.org/officeDocument/2006/relationships/hyperlink" Target="consultantplus://offline/ref=092B4A67EF4C7B316D6BD26B110CC07CBA32B4AD300AAD3696AA90D8E9307CC2FB9339EBDDE87EcFJ" TargetMode="External"/><Relationship Id="rId18" Type="http://schemas.openxmlformats.org/officeDocument/2006/relationships/hyperlink" Target="consultantplus://offline/ref=434C2F2AA777EE4FD350105874D5E2D19E1E41CA544B6B1334AC49197906C3D0CE488DFAB63DE09871rBJ" TargetMode="External"/><Relationship Id="rId26" Type="http://schemas.openxmlformats.org/officeDocument/2006/relationships/hyperlink" Target="consultantplus://offline/ref=9D7F52A56B1D098D36EB9CF5BA279DC34C5B0E5A0CBCC71715B9843FF567060ECE1C1C291CbCM9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75B36B2F530C7B12320AED9DE56C0DD02B93EF0CECAF19BA73C9DB7BCB5D1CFD058AF961F260212I3l0J" TargetMode="External"/><Relationship Id="rId7" Type="http://schemas.openxmlformats.org/officeDocument/2006/relationships/hyperlink" Target="consultantplus://offline/ref=A72051012BDFE2212F95D06DABBD1647E56A7B99F13A675C7542AD8726B1D0573B2E4D10F2E1ZAI6J" TargetMode="External"/><Relationship Id="rId12" Type="http://schemas.openxmlformats.org/officeDocument/2006/relationships/hyperlink" Target="consultantplus://offline/ref=092B4A67EF4C7B316D6BD26B110CC07CBA32B4AD300AAD3696AA90D8E9307CC2FB9339EBDDE87EcEJ" TargetMode="External"/><Relationship Id="rId17" Type="http://schemas.openxmlformats.org/officeDocument/2006/relationships/hyperlink" Target="consultantplus://offline/ref=7F29ED25568889453F78F5DBFF4CBF5F52D310229369358065C98B4C035C0881E1D71694A56FO9fCJ" TargetMode="External"/><Relationship Id="rId25" Type="http://schemas.openxmlformats.org/officeDocument/2006/relationships/hyperlink" Target="consultantplus://offline/ref=EC3E315274CC475ED50F23F5CEB0B6ACF89A1045E0352EAF48D1B39544016B68FA009113B522eAv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29ED25568889453F78F5DBFF4CBF5F52D310229369358065C98B4C035C0881E1D71694A56FO9fDJ" TargetMode="External"/><Relationship Id="rId20" Type="http://schemas.openxmlformats.org/officeDocument/2006/relationships/hyperlink" Target="consultantplus://offline/ref=175B36B2F530C7B12320AED9DE56C0DD02B638F5CDC3F19BA73C9DB7BCB5D1CFD058AF9F1B24I0l5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9A6105468BC3492A09A53E79E7EC0AB2D6DAAE7BB878158C7B5BDAA7BD424AC9E4576FAB5C3A58w3V5B" TargetMode="External"/><Relationship Id="rId11" Type="http://schemas.openxmlformats.org/officeDocument/2006/relationships/hyperlink" Target="consultantplus://offline/ref=0BD0672AFF994FA690FDB31D99F0DDC2512396CEB11C85D75340FB46BEDC5D9D8CF5FA0051E4Q0bDJ" TargetMode="External"/><Relationship Id="rId24" Type="http://schemas.openxmlformats.org/officeDocument/2006/relationships/hyperlink" Target="consultantplus://offline/ref=EC3E315274CC475ED50F23F5CEB0B6ACF89A1045E0352EAF48D1B39544016B68FA009113B522eAv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77497A7FABDE66D080EE1E15AFA34D9EA6009C727C188BC387912F0810487F0A636869D6EB68dDJ" TargetMode="External"/><Relationship Id="rId23" Type="http://schemas.openxmlformats.org/officeDocument/2006/relationships/hyperlink" Target="consultantplus://offline/ref=0FB4650198AA05CED061A874365553C74C1650A9594019C4600FB243C587DB02E9E29E51A9DEB3C9U2t9J" TargetMode="External"/><Relationship Id="rId28" Type="http://schemas.openxmlformats.org/officeDocument/2006/relationships/hyperlink" Target="consultantplus://offline/ref=E267E8C3C54C0C05BD59A03DB0FE00003D73A2C7DE6E6DCF095617E5FAE737455CC0813E34ADF1J7n2D" TargetMode="External"/><Relationship Id="rId10" Type="http://schemas.openxmlformats.org/officeDocument/2006/relationships/hyperlink" Target="consultantplus://offline/ref=0BD0672AFF994FA690FDB31D99F0DDC2512396CDB71885D75340FB46BEDC5D9D8CF5FA0950E6Q0b3J" TargetMode="External"/><Relationship Id="rId19" Type="http://schemas.openxmlformats.org/officeDocument/2006/relationships/hyperlink" Target="consultantplus://offline/ref=175B36B2F530C7B12320AED9DE56C0DD02B638F5CDC3F19BA73C9DB7BCB5D1CFD058AF9F1B24I0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0672AFF994FA690FDB31D99F0DDC2512396CDB71885D75340FB46BEDC5D9D8CF5FA0950E6Q0b2J" TargetMode="External"/><Relationship Id="rId14" Type="http://schemas.openxmlformats.org/officeDocument/2006/relationships/hyperlink" Target="consultantplus://offline/ref=8777497A7FABDE66D080EE1E15AFA34D9EA6009C727C188BC387912F0810487F0A636869D6EB68dCJ" TargetMode="External"/><Relationship Id="rId22" Type="http://schemas.openxmlformats.org/officeDocument/2006/relationships/hyperlink" Target="consultantplus://offline/ref=0FB4650198AA05CED061A874365553C74C1956AC5A4919C4600FB243C587DB02E9E29E58ADD8UBt6J" TargetMode="External"/><Relationship Id="rId27" Type="http://schemas.openxmlformats.org/officeDocument/2006/relationships/hyperlink" Target="consultantplus://offline/ref=E267E8C3C54C0C05BD59A03DB0FE00003D73A2C7DE6E6DCF095617E5FAE737455CC0813E34ADF1J7n2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Юлия Михайловна</dc:creator>
  <cp:lastModifiedBy>Попова Юлия Михайловна</cp:lastModifiedBy>
  <cp:revision>68</cp:revision>
  <dcterms:created xsi:type="dcterms:W3CDTF">2016-02-03T10:00:00Z</dcterms:created>
  <dcterms:modified xsi:type="dcterms:W3CDTF">2016-02-10T03:42:00Z</dcterms:modified>
</cp:coreProperties>
</file>